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C738" w14:textId="77777777" w:rsidR="00527689" w:rsidRDefault="00527689"/>
    <w:tbl>
      <w:tblPr>
        <w:tblW w:w="0" w:type="auto"/>
        <w:tblLook w:val="0000" w:firstRow="0" w:lastRow="0" w:firstColumn="0" w:lastColumn="0" w:noHBand="0" w:noVBand="0"/>
      </w:tblPr>
      <w:tblGrid>
        <w:gridCol w:w="3474"/>
        <w:gridCol w:w="5051"/>
      </w:tblGrid>
      <w:tr w:rsidR="00AA3136" w:rsidRPr="007D7E0B" w14:paraId="1179C73C" w14:textId="77777777" w:rsidTr="005C5F36">
        <w:tc>
          <w:tcPr>
            <w:tcW w:w="8525" w:type="dxa"/>
            <w:gridSpan w:val="2"/>
            <w:tcBorders>
              <w:bottom w:val="single" w:sz="18" w:space="0" w:color="auto"/>
            </w:tcBorders>
          </w:tcPr>
          <w:p w14:paraId="1179C739" w14:textId="77777777" w:rsidR="00AA3136" w:rsidRDefault="00AA3136">
            <w:pPr>
              <w:pStyle w:val="Infotext"/>
              <w:rPr>
                <w:rFonts w:ascii="Arial Black" w:hAnsi="Arial Black"/>
                <w:color w:val="999999"/>
                <w:sz w:val="36"/>
                <w:szCs w:val="36"/>
              </w:rPr>
            </w:pPr>
          </w:p>
          <w:p w14:paraId="1179C73A" w14:textId="77777777" w:rsidR="00AA3136" w:rsidRDefault="00EC548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179C824" wp14:editId="1179C825">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1179C73B" w14:textId="77777777" w:rsidR="00AA3136" w:rsidRDefault="00AA3136">
            <w:pPr>
              <w:pStyle w:val="Infotext"/>
              <w:rPr>
                <w:rFonts w:ascii="Arial Black" w:hAnsi="Arial Black" w:cs="Arial"/>
                <w:sz w:val="36"/>
                <w:szCs w:val="36"/>
              </w:rPr>
            </w:pPr>
          </w:p>
        </w:tc>
      </w:tr>
      <w:tr w:rsidR="005441BD" w:rsidRPr="007D7E0B" w14:paraId="1179C740" w14:textId="77777777">
        <w:tc>
          <w:tcPr>
            <w:tcW w:w="3474" w:type="dxa"/>
            <w:tcBorders>
              <w:bottom w:val="single" w:sz="18" w:space="0" w:color="auto"/>
            </w:tcBorders>
          </w:tcPr>
          <w:p w14:paraId="1179C73D" w14:textId="77777777" w:rsidR="005441BD" w:rsidRPr="00A2102D" w:rsidRDefault="00A2102D">
            <w:pPr>
              <w:pStyle w:val="Infotext"/>
              <w:rPr>
                <w:rFonts w:ascii="Arial Black" w:hAnsi="Arial Black"/>
                <w:color w:val="999999"/>
                <w:sz w:val="36"/>
                <w:szCs w:val="36"/>
              </w:rPr>
            </w:pPr>
            <w:r w:rsidRPr="00A2102D">
              <w:rPr>
                <w:rFonts w:ascii="Arial Black" w:hAnsi="Arial Black"/>
                <w:color w:val="999999"/>
                <w:sz w:val="36"/>
                <w:szCs w:val="36"/>
              </w:rPr>
              <w:t>REPORT FOR:</w:t>
            </w:r>
          </w:p>
          <w:p w14:paraId="1179C73E" w14:textId="77777777" w:rsidR="005441BD" w:rsidRPr="00656C6A" w:rsidRDefault="005441BD">
            <w:pPr>
              <w:pStyle w:val="Infotext"/>
              <w:rPr>
                <w:rFonts w:ascii="Arial Black" w:hAnsi="Arial Black" w:cs="Arial"/>
                <w:sz w:val="36"/>
                <w:szCs w:val="36"/>
              </w:rPr>
            </w:pPr>
          </w:p>
        </w:tc>
        <w:tc>
          <w:tcPr>
            <w:tcW w:w="5051" w:type="dxa"/>
            <w:tcBorders>
              <w:bottom w:val="single" w:sz="18" w:space="0" w:color="auto"/>
            </w:tcBorders>
          </w:tcPr>
          <w:p w14:paraId="1179C73F" w14:textId="77777777" w:rsidR="00B26D5D" w:rsidRPr="00B26D5D" w:rsidRDefault="00C22FF4">
            <w:pPr>
              <w:pStyle w:val="Infotext"/>
              <w:rPr>
                <w:rFonts w:ascii="Arial Black" w:hAnsi="Arial Black" w:cs="Arial"/>
                <w:color w:val="0000FF"/>
                <w:szCs w:val="28"/>
              </w:rPr>
            </w:pPr>
            <w:r>
              <w:rPr>
                <w:rFonts w:ascii="Arial Black" w:hAnsi="Arial Black" w:cs="Arial"/>
                <w:sz w:val="36"/>
                <w:szCs w:val="36"/>
              </w:rPr>
              <w:t>Corporate Parenting Panel</w:t>
            </w:r>
          </w:p>
        </w:tc>
      </w:tr>
      <w:tr w:rsidR="005441BD" w:rsidRPr="007D7E0B" w14:paraId="1179C744" w14:textId="77777777">
        <w:tc>
          <w:tcPr>
            <w:tcW w:w="3474" w:type="dxa"/>
            <w:tcBorders>
              <w:top w:val="single" w:sz="18" w:space="0" w:color="auto"/>
            </w:tcBorders>
          </w:tcPr>
          <w:p w14:paraId="1179C741" w14:textId="77777777" w:rsidR="005441BD" w:rsidRPr="007D7E0B" w:rsidRDefault="005441BD">
            <w:pPr>
              <w:pStyle w:val="Infotext"/>
              <w:rPr>
                <w:rFonts w:ascii="Arial Black" w:hAnsi="Arial Black"/>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p w14:paraId="1179C742" w14:textId="77777777" w:rsidR="005441BD" w:rsidRPr="007D7E0B" w:rsidRDefault="005441BD">
            <w:pPr>
              <w:pStyle w:val="Infotext"/>
              <w:rPr>
                <w:rFonts w:ascii="Arial Black" w:hAnsi="Arial Black" w:cs="Arial"/>
              </w:rPr>
            </w:pPr>
          </w:p>
        </w:tc>
        <w:tc>
          <w:tcPr>
            <w:tcW w:w="5051" w:type="dxa"/>
            <w:tcBorders>
              <w:top w:val="single" w:sz="18" w:space="0" w:color="auto"/>
            </w:tcBorders>
          </w:tcPr>
          <w:p w14:paraId="1179C743" w14:textId="7DB66B77" w:rsidR="005441BD" w:rsidRPr="00026E61" w:rsidRDefault="003B1FA7">
            <w:pPr>
              <w:pStyle w:val="Infotext"/>
              <w:rPr>
                <w:rFonts w:cs="Arial"/>
                <w:sz w:val="24"/>
                <w:szCs w:val="24"/>
              </w:rPr>
            </w:pPr>
            <w:r>
              <w:rPr>
                <w:rFonts w:cs="Arial"/>
                <w:sz w:val="24"/>
                <w:szCs w:val="24"/>
              </w:rPr>
              <w:t>7</w:t>
            </w:r>
            <w:r w:rsidR="00CA72A9" w:rsidRPr="00CA72A9">
              <w:rPr>
                <w:rFonts w:cs="Arial"/>
                <w:sz w:val="24"/>
                <w:szCs w:val="24"/>
                <w:vertAlign w:val="superscript"/>
              </w:rPr>
              <w:t>th</w:t>
            </w:r>
            <w:r w:rsidR="00CA72A9">
              <w:rPr>
                <w:rFonts w:cs="Arial"/>
                <w:sz w:val="24"/>
                <w:szCs w:val="24"/>
              </w:rPr>
              <w:t xml:space="preserve"> </w:t>
            </w:r>
            <w:r>
              <w:rPr>
                <w:rFonts w:cs="Arial"/>
                <w:sz w:val="24"/>
                <w:szCs w:val="24"/>
              </w:rPr>
              <w:t>October</w:t>
            </w:r>
            <w:r w:rsidR="00CA72A9">
              <w:rPr>
                <w:rFonts w:cs="Arial"/>
                <w:sz w:val="24"/>
                <w:szCs w:val="24"/>
              </w:rPr>
              <w:t xml:space="preserve"> 2020</w:t>
            </w:r>
          </w:p>
        </w:tc>
      </w:tr>
      <w:tr w:rsidR="005441BD" w:rsidRPr="007D7E0B" w14:paraId="1179C748" w14:textId="77777777">
        <w:tc>
          <w:tcPr>
            <w:tcW w:w="3474" w:type="dxa"/>
          </w:tcPr>
          <w:p w14:paraId="1179C745" w14:textId="77777777" w:rsidR="005441BD" w:rsidRPr="007D7E0B" w:rsidRDefault="005441BD">
            <w:pPr>
              <w:pStyle w:val="Infotext"/>
              <w:rPr>
                <w:rFonts w:ascii="Arial Black" w:hAnsi="Arial Black" w:cs="Arial"/>
              </w:rPr>
            </w:pPr>
            <w:r w:rsidRPr="007D7E0B">
              <w:rPr>
                <w:rFonts w:ascii="Arial Black" w:hAnsi="Arial Black" w:cs="Arial"/>
              </w:rPr>
              <w:t>Subject:</w:t>
            </w:r>
          </w:p>
          <w:p w14:paraId="1179C746" w14:textId="77777777" w:rsidR="005441BD" w:rsidRPr="007D7E0B" w:rsidRDefault="005441BD">
            <w:pPr>
              <w:pStyle w:val="Infotext"/>
              <w:rPr>
                <w:rFonts w:ascii="Arial Black" w:hAnsi="Arial Black"/>
              </w:rPr>
            </w:pPr>
          </w:p>
        </w:tc>
        <w:tc>
          <w:tcPr>
            <w:tcW w:w="5051" w:type="dxa"/>
          </w:tcPr>
          <w:p w14:paraId="1179C747" w14:textId="77777777" w:rsidR="005441BD" w:rsidRPr="00026E61" w:rsidRDefault="00C22FF4">
            <w:pPr>
              <w:pStyle w:val="Infotext"/>
              <w:rPr>
                <w:rFonts w:cs="Arial"/>
                <w:sz w:val="24"/>
                <w:szCs w:val="24"/>
              </w:rPr>
            </w:pPr>
            <w:r w:rsidRPr="00C22FF4">
              <w:rPr>
                <w:rFonts w:cs="Arial"/>
                <w:sz w:val="24"/>
              </w:rPr>
              <w:t>INFORMATION REPORT – Activity and Performance</w:t>
            </w:r>
          </w:p>
        </w:tc>
      </w:tr>
      <w:tr w:rsidR="005441BD" w:rsidRPr="007D7E0B" w14:paraId="1179C74F" w14:textId="77777777">
        <w:tc>
          <w:tcPr>
            <w:tcW w:w="3474" w:type="dxa"/>
          </w:tcPr>
          <w:p w14:paraId="1179C749" w14:textId="77777777" w:rsidR="0064262B" w:rsidRDefault="005441BD">
            <w:pPr>
              <w:pStyle w:val="Infotext"/>
              <w:rPr>
                <w:rFonts w:ascii="Arial Black" w:hAnsi="Arial Black" w:cs="Arial"/>
              </w:rPr>
            </w:pPr>
            <w:r w:rsidRPr="007D7E0B">
              <w:rPr>
                <w:rFonts w:ascii="Arial Black" w:hAnsi="Arial Black" w:cs="Arial"/>
              </w:rPr>
              <w:t>Key Decision:</w:t>
            </w:r>
          </w:p>
          <w:p w14:paraId="1179C74A" w14:textId="77777777" w:rsidR="0064262B" w:rsidRPr="0064262B" w:rsidRDefault="0064262B" w:rsidP="0064262B"/>
          <w:p w14:paraId="1179C74B" w14:textId="77777777" w:rsidR="0064262B" w:rsidRDefault="0064262B" w:rsidP="0064262B"/>
          <w:p w14:paraId="1179C74C" w14:textId="77777777" w:rsidR="005441BD" w:rsidRPr="0064262B" w:rsidRDefault="005441BD" w:rsidP="0064262B"/>
        </w:tc>
        <w:tc>
          <w:tcPr>
            <w:tcW w:w="5051" w:type="dxa"/>
          </w:tcPr>
          <w:p w14:paraId="1179C74D" w14:textId="77777777" w:rsidR="008D0B76" w:rsidRPr="00026E61" w:rsidRDefault="00C22FF4">
            <w:pPr>
              <w:pStyle w:val="Infotext"/>
              <w:rPr>
                <w:rFonts w:cs="Arial"/>
                <w:sz w:val="24"/>
                <w:szCs w:val="24"/>
              </w:rPr>
            </w:pPr>
            <w:r>
              <w:rPr>
                <w:rFonts w:cs="Arial"/>
                <w:sz w:val="24"/>
                <w:szCs w:val="24"/>
              </w:rPr>
              <w:t>No</w:t>
            </w:r>
          </w:p>
          <w:p w14:paraId="1179C74E" w14:textId="77777777" w:rsidR="0099076B" w:rsidRPr="00026E61" w:rsidRDefault="0099076B">
            <w:pPr>
              <w:pStyle w:val="Infotext"/>
              <w:rPr>
                <w:rFonts w:cs="Arial"/>
                <w:sz w:val="24"/>
                <w:szCs w:val="24"/>
              </w:rPr>
            </w:pPr>
          </w:p>
        </w:tc>
      </w:tr>
      <w:tr w:rsidR="005441BD" w:rsidRPr="007D7E0B" w14:paraId="1179C753" w14:textId="77777777">
        <w:tc>
          <w:tcPr>
            <w:tcW w:w="3474" w:type="dxa"/>
          </w:tcPr>
          <w:p w14:paraId="1179C750" w14:textId="77777777" w:rsidR="005441BD" w:rsidRPr="007D7E0B" w:rsidRDefault="005441BD">
            <w:pPr>
              <w:pStyle w:val="Infotext"/>
              <w:rPr>
                <w:rFonts w:ascii="Arial Black" w:hAnsi="Arial Black" w:cs="Arial"/>
              </w:rPr>
            </w:pPr>
            <w:r w:rsidRPr="007D7E0B">
              <w:rPr>
                <w:rFonts w:ascii="Arial Black" w:hAnsi="Arial Black" w:cs="Arial"/>
              </w:rPr>
              <w:t>Responsible Officer:</w:t>
            </w:r>
          </w:p>
          <w:p w14:paraId="1179C751" w14:textId="77777777" w:rsidR="005441BD" w:rsidRPr="007D7E0B" w:rsidRDefault="005441BD">
            <w:pPr>
              <w:pStyle w:val="Infotext"/>
              <w:rPr>
                <w:rFonts w:ascii="Arial Black" w:hAnsi="Arial Black" w:cs="Arial"/>
              </w:rPr>
            </w:pPr>
          </w:p>
        </w:tc>
        <w:tc>
          <w:tcPr>
            <w:tcW w:w="5051" w:type="dxa"/>
          </w:tcPr>
          <w:p w14:paraId="1179C752" w14:textId="77777777" w:rsidR="00036698" w:rsidRPr="00C22FF4" w:rsidRDefault="00C22FF4">
            <w:pPr>
              <w:pStyle w:val="Infotext"/>
              <w:rPr>
                <w:rFonts w:cs="Arial"/>
                <w:sz w:val="24"/>
                <w:szCs w:val="24"/>
              </w:rPr>
            </w:pPr>
            <w:r w:rsidRPr="00C22FF4">
              <w:rPr>
                <w:rFonts w:cs="Arial"/>
                <w:sz w:val="24"/>
              </w:rPr>
              <w:t>Paul Hewitt, Corporate Director of People</w:t>
            </w:r>
            <w:r w:rsidRPr="00C22FF4">
              <w:rPr>
                <w:rFonts w:cs="Arial"/>
                <w:sz w:val="24"/>
                <w:szCs w:val="24"/>
              </w:rPr>
              <w:t xml:space="preserve"> </w:t>
            </w:r>
          </w:p>
        </w:tc>
      </w:tr>
      <w:tr w:rsidR="005441BD" w:rsidRPr="007D7E0B" w14:paraId="1179C758" w14:textId="77777777">
        <w:tc>
          <w:tcPr>
            <w:tcW w:w="3474" w:type="dxa"/>
          </w:tcPr>
          <w:p w14:paraId="1179C754" w14:textId="77777777" w:rsidR="005441BD" w:rsidRPr="007D7E0B" w:rsidRDefault="005441BD">
            <w:pPr>
              <w:pStyle w:val="Infotext"/>
              <w:rPr>
                <w:rFonts w:ascii="Arial Black" w:hAnsi="Arial Black" w:cs="Arial"/>
              </w:rPr>
            </w:pPr>
            <w:r w:rsidRPr="007D7E0B">
              <w:rPr>
                <w:rFonts w:ascii="Arial Black" w:hAnsi="Arial Black" w:cs="Arial"/>
              </w:rPr>
              <w:t>Portfolio Holder:</w:t>
            </w:r>
          </w:p>
          <w:p w14:paraId="1179C755" w14:textId="77777777" w:rsidR="005441BD" w:rsidRPr="007D7E0B" w:rsidRDefault="005441BD">
            <w:pPr>
              <w:pStyle w:val="Infotext"/>
              <w:rPr>
                <w:rFonts w:ascii="Arial Black" w:hAnsi="Arial Black" w:cs="Arial"/>
              </w:rPr>
            </w:pPr>
          </w:p>
        </w:tc>
        <w:tc>
          <w:tcPr>
            <w:tcW w:w="5051" w:type="dxa"/>
          </w:tcPr>
          <w:p w14:paraId="1179C756" w14:textId="77777777" w:rsidR="00C22FF4" w:rsidRPr="00C22FF4" w:rsidRDefault="00C22FF4" w:rsidP="00C22FF4">
            <w:pPr>
              <w:pStyle w:val="Infotext"/>
              <w:rPr>
                <w:sz w:val="24"/>
              </w:rPr>
            </w:pPr>
            <w:r w:rsidRPr="00C22FF4">
              <w:rPr>
                <w:rFonts w:cs="Arial"/>
                <w:sz w:val="24"/>
              </w:rPr>
              <w:t xml:space="preserve">Councillor Christine Robson, </w:t>
            </w:r>
            <w:r w:rsidRPr="00C22FF4">
              <w:rPr>
                <w:sz w:val="24"/>
              </w:rPr>
              <w:t>Portfolio Holder for Children, Young People and Schools</w:t>
            </w:r>
          </w:p>
          <w:p w14:paraId="1179C757" w14:textId="77777777" w:rsidR="008D0B76" w:rsidRPr="00C22FF4" w:rsidRDefault="008D0B76">
            <w:pPr>
              <w:pStyle w:val="Infotext"/>
              <w:rPr>
                <w:rFonts w:cs="Arial"/>
                <w:sz w:val="24"/>
                <w:szCs w:val="24"/>
              </w:rPr>
            </w:pPr>
          </w:p>
        </w:tc>
      </w:tr>
      <w:tr w:rsidR="005441BD" w:rsidRPr="007D7E0B" w14:paraId="1179C75D" w14:textId="77777777">
        <w:tc>
          <w:tcPr>
            <w:tcW w:w="3474" w:type="dxa"/>
          </w:tcPr>
          <w:p w14:paraId="1179C759" w14:textId="77777777" w:rsidR="005441BD" w:rsidRPr="007D7E0B" w:rsidRDefault="005441BD">
            <w:pPr>
              <w:pStyle w:val="Infotext"/>
              <w:rPr>
                <w:rFonts w:ascii="Arial Black" w:hAnsi="Arial Black" w:cs="Arial"/>
              </w:rPr>
            </w:pPr>
            <w:r w:rsidRPr="007D7E0B">
              <w:rPr>
                <w:rFonts w:ascii="Arial Black" w:hAnsi="Arial Black" w:cs="Arial"/>
              </w:rPr>
              <w:t>Exempt:</w:t>
            </w:r>
          </w:p>
          <w:p w14:paraId="1179C75A" w14:textId="77777777" w:rsidR="005441BD" w:rsidRPr="007D7E0B" w:rsidRDefault="005441BD">
            <w:pPr>
              <w:pStyle w:val="Infotext"/>
              <w:rPr>
                <w:rFonts w:ascii="Arial Black" w:hAnsi="Arial Black" w:cs="Arial"/>
              </w:rPr>
            </w:pPr>
          </w:p>
        </w:tc>
        <w:tc>
          <w:tcPr>
            <w:tcW w:w="5051" w:type="dxa"/>
          </w:tcPr>
          <w:p w14:paraId="1179C75B" w14:textId="77777777" w:rsidR="005441BD" w:rsidRPr="00026E61" w:rsidRDefault="00C22FF4">
            <w:pPr>
              <w:pStyle w:val="Infotext"/>
              <w:rPr>
                <w:rFonts w:cs="Arial"/>
                <w:sz w:val="24"/>
                <w:szCs w:val="24"/>
              </w:rPr>
            </w:pPr>
            <w:r>
              <w:rPr>
                <w:rFonts w:cs="Arial"/>
                <w:sz w:val="24"/>
                <w:szCs w:val="24"/>
              </w:rPr>
              <w:t>No</w:t>
            </w:r>
          </w:p>
          <w:p w14:paraId="1179C75C" w14:textId="77777777" w:rsidR="0099076B" w:rsidRPr="00026E61" w:rsidRDefault="0099076B">
            <w:pPr>
              <w:pStyle w:val="Infotext"/>
              <w:rPr>
                <w:rFonts w:cs="Arial"/>
                <w:sz w:val="24"/>
                <w:szCs w:val="24"/>
              </w:rPr>
            </w:pPr>
          </w:p>
        </w:tc>
      </w:tr>
      <w:tr w:rsidR="0099076B" w:rsidRPr="007D7E0B" w14:paraId="1179C763" w14:textId="77777777">
        <w:tc>
          <w:tcPr>
            <w:tcW w:w="3474" w:type="dxa"/>
          </w:tcPr>
          <w:p w14:paraId="1179C75E" w14:textId="77777777" w:rsidR="0099076B" w:rsidRPr="007D7E0B" w:rsidRDefault="0099076B">
            <w:pPr>
              <w:pStyle w:val="Infotext"/>
              <w:rPr>
                <w:rFonts w:ascii="Arial Black" w:hAnsi="Arial Black" w:cs="Arial"/>
              </w:rPr>
            </w:pPr>
            <w:r>
              <w:rPr>
                <w:rFonts w:ascii="Arial Black" w:hAnsi="Arial Black" w:cs="Arial"/>
              </w:rPr>
              <w:t>Decision subject to Call-in:</w:t>
            </w:r>
          </w:p>
        </w:tc>
        <w:tc>
          <w:tcPr>
            <w:tcW w:w="5051" w:type="dxa"/>
          </w:tcPr>
          <w:p w14:paraId="1179C75F" w14:textId="77777777" w:rsidR="00C22FF4" w:rsidRDefault="00C22FF4" w:rsidP="00C22FF4">
            <w:pPr>
              <w:pStyle w:val="Infotext"/>
              <w:rPr>
                <w:rFonts w:cs="Arial"/>
                <w:sz w:val="24"/>
              </w:rPr>
            </w:pPr>
            <w:r w:rsidRPr="00C22FF4">
              <w:rPr>
                <w:rFonts w:cs="Arial"/>
                <w:sz w:val="24"/>
              </w:rPr>
              <w:t>No</w:t>
            </w:r>
          </w:p>
          <w:p w14:paraId="1179C760" w14:textId="77777777" w:rsidR="00C22FF4" w:rsidRDefault="00C22FF4" w:rsidP="00C22FF4">
            <w:pPr>
              <w:pStyle w:val="Infotext"/>
              <w:rPr>
                <w:rFonts w:cs="Arial"/>
                <w:sz w:val="24"/>
              </w:rPr>
            </w:pPr>
          </w:p>
          <w:p w14:paraId="1179C761" w14:textId="77777777" w:rsidR="00C22FF4" w:rsidRPr="00C22FF4" w:rsidRDefault="00C22FF4" w:rsidP="00C22FF4">
            <w:pPr>
              <w:pStyle w:val="Infotext"/>
              <w:rPr>
                <w:rFonts w:cs="Arial"/>
                <w:sz w:val="24"/>
              </w:rPr>
            </w:pPr>
          </w:p>
          <w:p w14:paraId="1179C762" w14:textId="77777777" w:rsidR="000D5D8B" w:rsidRPr="00026E61" w:rsidRDefault="000D5D8B">
            <w:pPr>
              <w:pStyle w:val="Infotext"/>
              <w:rPr>
                <w:rFonts w:cs="Arial"/>
                <w:sz w:val="24"/>
                <w:szCs w:val="24"/>
              </w:rPr>
            </w:pPr>
          </w:p>
        </w:tc>
      </w:tr>
      <w:tr w:rsidR="0064262B" w:rsidRPr="007D7E0B" w14:paraId="1179C767" w14:textId="77777777">
        <w:tc>
          <w:tcPr>
            <w:tcW w:w="3474" w:type="dxa"/>
          </w:tcPr>
          <w:p w14:paraId="1179C764" w14:textId="77777777" w:rsidR="0064262B" w:rsidRDefault="0064262B">
            <w:pPr>
              <w:pStyle w:val="Infotext"/>
              <w:rPr>
                <w:rFonts w:ascii="Arial Black" w:hAnsi="Arial Black" w:cs="Arial"/>
              </w:rPr>
            </w:pPr>
            <w:r>
              <w:rPr>
                <w:rFonts w:ascii="Arial Black" w:hAnsi="Arial Black" w:cs="Arial"/>
              </w:rPr>
              <w:t>Wards affected:</w:t>
            </w:r>
          </w:p>
          <w:p w14:paraId="1179C765" w14:textId="77777777" w:rsidR="00D54435" w:rsidRPr="007D7E0B" w:rsidRDefault="00D54435">
            <w:pPr>
              <w:pStyle w:val="Infotext"/>
              <w:rPr>
                <w:rFonts w:ascii="Arial Black" w:hAnsi="Arial Black" w:cs="Arial"/>
              </w:rPr>
            </w:pPr>
          </w:p>
        </w:tc>
        <w:tc>
          <w:tcPr>
            <w:tcW w:w="5051" w:type="dxa"/>
          </w:tcPr>
          <w:p w14:paraId="1179C766" w14:textId="1F7E2E91" w:rsidR="0064262B" w:rsidRPr="00026E61" w:rsidRDefault="00D97941" w:rsidP="002D7BE3">
            <w:pPr>
              <w:pStyle w:val="Infotext"/>
              <w:rPr>
                <w:rFonts w:cs="Arial"/>
                <w:sz w:val="24"/>
                <w:szCs w:val="24"/>
              </w:rPr>
            </w:pPr>
            <w:r>
              <w:rPr>
                <w:rFonts w:cs="Arial"/>
                <w:sz w:val="24"/>
                <w:szCs w:val="24"/>
              </w:rPr>
              <w:t>None - This is an Information report</w:t>
            </w:r>
          </w:p>
        </w:tc>
      </w:tr>
      <w:tr w:rsidR="005441BD" w:rsidRPr="007D7E0B" w14:paraId="1179C76B" w14:textId="77777777">
        <w:tc>
          <w:tcPr>
            <w:tcW w:w="3474" w:type="dxa"/>
          </w:tcPr>
          <w:p w14:paraId="1179C768" w14:textId="77777777" w:rsidR="005441BD" w:rsidRPr="007D7E0B" w:rsidRDefault="005441BD">
            <w:pPr>
              <w:pStyle w:val="Infotext"/>
              <w:rPr>
                <w:rFonts w:ascii="Arial Black" w:hAnsi="Arial Black" w:cs="Arial"/>
              </w:rPr>
            </w:pPr>
            <w:r w:rsidRPr="007D7E0B">
              <w:rPr>
                <w:rFonts w:ascii="Arial Black" w:hAnsi="Arial Black" w:cs="Arial"/>
              </w:rPr>
              <w:t>Enclosures:</w:t>
            </w:r>
          </w:p>
          <w:p w14:paraId="1179C769" w14:textId="77777777" w:rsidR="005441BD" w:rsidRPr="007D7E0B" w:rsidRDefault="005441BD">
            <w:pPr>
              <w:pStyle w:val="Infotext"/>
              <w:rPr>
                <w:rFonts w:ascii="Arial Black" w:hAnsi="Arial Black" w:cs="Arial"/>
              </w:rPr>
            </w:pPr>
          </w:p>
        </w:tc>
        <w:tc>
          <w:tcPr>
            <w:tcW w:w="5051" w:type="dxa"/>
          </w:tcPr>
          <w:p w14:paraId="1179C76A" w14:textId="77777777" w:rsidR="008D0B76" w:rsidRPr="00026E61" w:rsidRDefault="00C22FF4">
            <w:pPr>
              <w:pStyle w:val="Infotext"/>
              <w:rPr>
                <w:rFonts w:cs="Arial"/>
                <w:sz w:val="24"/>
                <w:szCs w:val="24"/>
              </w:rPr>
            </w:pPr>
            <w:r w:rsidRPr="00C22FF4">
              <w:rPr>
                <w:rFonts w:cs="Arial"/>
                <w:sz w:val="24"/>
              </w:rPr>
              <w:t>CLA Performance Report</w:t>
            </w:r>
          </w:p>
        </w:tc>
      </w:tr>
    </w:tbl>
    <w:p w14:paraId="1179C76C" w14:textId="77777777" w:rsidR="005441BD" w:rsidRDefault="005441BD">
      <w:pPr>
        <w:rPr>
          <w:rFonts w:cs="Arial"/>
        </w:rPr>
      </w:pPr>
    </w:p>
    <w:p w14:paraId="1179C76D" w14:textId="77777777" w:rsidR="00026E61" w:rsidRDefault="00026E61">
      <w:pPr>
        <w:rPr>
          <w:rFonts w:cs="Arial"/>
        </w:rPr>
        <w:sectPr w:rsidR="00026E61" w:rsidSect="002D7BE3">
          <w:type w:val="continuous"/>
          <w:pgSz w:w="11909" w:h="16834" w:code="9"/>
          <w:pgMar w:top="864" w:right="1800" w:bottom="1440" w:left="1800" w:header="1008" w:footer="432" w:gutter="0"/>
          <w:cols w:space="720"/>
          <w:titlePg/>
          <w:docGrid w:linePitch="360"/>
        </w:sectPr>
      </w:pPr>
    </w:p>
    <w:p w14:paraId="1179C76E" w14:textId="77777777" w:rsidR="005441BD" w:rsidRDefault="00EE1055">
      <w:pPr>
        <w:rPr>
          <w:rFonts w:cs="Arial"/>
        </w:rPr>
      </w:pPr>
      <w:r>
        <w:rPr>
          <w:rFonts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14:paraId="1179C771" w14:textId="77777777">
        <w:tc>
          <w:tcPr>
            <w:tcW w:w="8525" w:type="dxa"/>
            <w:tcBorders>
              <w:top w:val="nil"/>
              <w:left w:val="nil"/>
              <w:right w:val="nil"/>
            </w:tcBorders>
          </w:tcPr>
          <w:p w14:paraId="1179C76F" w14:textId="77777777" w:rsidR="005200DF" w:rsidRDefault="005200DF" w:rsidP="005200DF">
            <w:pPr>
              <w:pStyle w:val="Heading1"/>
            </w:pPr>
            <w:r>
              <w:t>Section 1 – Summary and Recommendations</w:t>
            </w:r>
          </w:p>
          <w:p w14:paraId="1179C770" w14:textId="77777777" w:rsidR="005200DF" w:rsidRDefault="005200DF"/>
        </w:tc>
      </w:tr>
      <w:tr w:rsidR="005441BD" w14:paraId="1179C776" w14:textId="77777777">
        <w:tc>
          <w:tcPr>
            <w:tcW w:w="8525" w:type="dxa"/>
          </w:tcPr>
          <w:p w14:paraId="1179C772" w14:textId="77777777" w:rsidR="00C22FF4" w:rsidRPr="005220AC" w:rsidRDefault="00C22FF4" w:rsidP="00C22FF4"/>
          <w:p w14:paraId="1179C773" w14:textId="263E8B47" w:rsidR="00C22FF4" w:rsidRPr="00CD319E" w:rsidRDefault="00C22FF4" w:rsidP="00C22FF4">
            <w:pPr>
              <w:pStyle w:val="BodyText2"/>
              <w:spacing w:line="240" w:lineRule="auto"/>
              <w:rPr>
                <w:lang w:val="en-GB"/>
              </w:rPr>
            </w:pPr>
            <w:r w:rsidRPr="00CD319E">
              <w:rPr>
                <w:lang w:val="en-GB"/>
              </w:rPr>
              <w:t>This is an information report which sets out activity for children looked after and care leavers as well as provisional performance positio</w:t>
            </w:r>
            <w:r>
              <w:rPr>
                <w:lang w:val="en-GB"/>
              </w:rPr>
              <w:t xml:space="preserve">n </w:t>
            </w:r>
            <w:r w:rsidRPr="00CD319E">
              <w:rPr>
                <w:lang w:val="en-GB"/>
              </w:rPr>
              <w:t xml:space="preserve">at </w:t>
            </w:r>
            <w:r w:rsidR="00CA72A9">
              <w:rPr>
                <w:lang w:val="en-GB"/>
              </w:rPr>
              <w:t>Q</w:t>
            </w:r>
            <w:r w:rsidR="003B1FA7">
              <w:rPr>
                <w:lang w:val="en-GB"/>
              </w:rPr>
              <w:t>1</w:t>
            </w:r>
            <w:r w:rsidR="00FB2E77">
              <w:rPr>
                <w:lang w:val="en-GB"/>
              </w:rPr>
              <w:t xml:space="preserve"> 20</w:t>
            </w:r>
            <w:r w:rsidR="003B1FA7">
              <w:rPr>
                <w:lang w:val="en-GB"/>
              </w:rPr>
              <w:t>20</w:t>
            </w:r>
            <w:r w:rsidR="00FB2E77">
              <w:rPr>
                <w:lang w:val="en-GB"/>
              </w:rPr>
              <w:t>-2</w:t>
            </w:r>
            <w:r w:rsidR="003B1FA7">
              <w:rPr>
                <w:lang w:val="en-GB"/>
              </w:rPr>
              <w:t>1</w:t>
            </w:r>
            <w:r>
              <w:rPr>
                <w:lang w:val="en-GB"/>
              </w:rPr>
              <w:t xml:space="preserve">.  </w:t>
            </w:r>
            <w:r w:rsidRPr="00CD319E">
              <w:rPr>
                <w:lang w:val="en-GB"/>
              </w:rPr>
              <w:t xml:space="preserve">National and comparator data is also included where appropriate for context. </w:t>
            </w:r>
          </w:p>
          <w:p w14:paraId="1179C774" w14:textId="77777777" w:rsidR="00C22FF4" w:rsidRDefault="00C22FF4" w:rsidP="00C22FF4">
            <w:pPr>
              <w:pStyle w:val="BodyText2"/>
              <w:spacing w:line="240" w:lineRule="auto"/>
              <w:rPr>
                <w:lang w:val="en-GB"/>
              </w:rPr>
            </w:pPr>
            <w:r w:rsidRPr="008805E7">
              <w:rPr>
                <w:b/>
                <w:lang w:val="en-GB"/>
              </w:rPr>
              <w:t>RECOMMENDATION</w:t>
            </w:r>
            <w:r>
              <w:rPr>
                <w:lang w:val="en-GB"/>
              </w:rPr>
              <w:t>: That the report be noted</w:t>
            </w:r>
            <w:bookmarkStart w:id="0" w:name="_GoBack"/>
            <w:bookmarkEnd w:id="0"/>
          </w:p>
          <w:p w14:paraId="1179C775" w14:textId="0254D0A3" w:rsidR="005441BD" w:rsidRDefault="00C22FF4" w:rsidP="00C22FF4">
            <w:pPr>
              <w:jc w:val="both"/>
              <w:rPr>
                <w:rFonts w:cs="Arial"/>
              </w:rPr>
            </w:pPr>
            <w:r w:rsidRPr="008805E7">
              <w:rPr>
                <w:b/>
              </w:rPr>
              <w:t xml:space="preserve">Reason for Recommendation: </w:t>
            </w:r>
            <w:r w:rsidR="00CA72A9">
              <w:t>To keep the Panel informed about activity</w:t>
            </w:r>
            <w:r>
              <w:t xml:space="preserve"> </w:t>
            </w:r>
            <w:r w:rsidR="00CA72A9">
              <w:t xml:space="preserve">&amp; </w:t>
            </w:r>
            <w:r>
              <w:t>performance</w:t>
            </w:r>
            <w:r w:rsidR="00CA72A9">
              <w:t xml:space="preserve"> for looked after children</w:t>
            </w:r>
            <w:r>
              <w:t xml:space="preserve"> in their role as Corporate Parents.</w:t>
            </w:r>
          </w:p>
        </w:tc>
      </w:tr>
    </w:tbl>
    <w:p w14:paraId="1179C777" w14:textId="77777777" w:rsidR="005C1159" w:rsidRDefault="005C1159">
      <w:pPr>
        <w:pStyle w:val="Heading1"/>
        <w:jc w:val="center"/>
        <w:rPr>
          <w:color w:val="0000FF"/>
          <w:sz w:val="28"/>
        </w:rPr>
        <w:sectPr w:rsidR="005C1159" w:rsidSect="002D7BE3">
          <w:footerReference w:type="default" r:id="rId13"/>
          <w:footerReference w:type="first" r:id="rId14"/>
          <w:pgSz w:w="11909" w:h="16834" w:code="9"/>
          <w:pgMar w:top="864" w:right="1800" w:bottom="0" w:left="1800" w:header="1008" w:footer="432" w:gutter="0"/>
          <w:cols w:space="720"/>
          <w:docGrid w:linePitch="360"/>
        </w:sectPr>
      </w:pPr>
    </w:p>
    <w:p w14:paraId="1179C778" w14:textId="77777777" w:rsidR="005C1159" w:rsidRDefault="005C1159">
      <w:pPr>
        <w:pStyle w:val="Heading1"/>
        <w:jc w:val="center"/>
        <w:rPr>
          <w:color w:val="0000FF"/>
          <w:sz w:val="28"/>
        </w:rPr>
      </w:pPr>
    </w:p>
    <w:p w14:paraId="1179C779" w14:textId="77777777" w:rsidR="005441BD" w:rsidRDefault="005441BD">
      <w:pPr>
        <w:pStyle w:val="Heading1"/>
        <w:jc w:val="center"/>
        <w:rPr>
          <w:color w:val="0000FF"/>
          <w:sz w:val="28"/>
        </w:rPr>
      </w:pPr>
    </w:p>
    <w:p w14:paraId="1179C77A" w14:textId="77777777" w:rsidR="005441BD" w:rsidRDefault="005441BD">
      <w:pPr>
        <w:pStyle w:val="Heading1"/>
        <w:jc w:val="both"/>
      </w:pPr>
      <w:r>
        <w:t>Section 2 – Report</w:t>
      </w:r>
    </w:p>
    <w:p w14:paraId="1179C77B" w14:textId="4302726A" w:rsidR="00C22FF4" w:rsidRDefault="00C22FF4" w:rsidP="00C22FF4">
      <w:pPr>
        <w:pStyle w:val="BodyText2"/>
        <w:spacing w:after="0" w:line="240" w:lineRule="auto"/>
        <w:rPr>
          <w:lang w:val="en-GB"/>
        </w:rPr>
      </w:pPr>
      <w:r w:rsidRPr="00C147B1">
        <w:t>See</w:t>
      </w:r>
      <w:r w:rsidRPr="00C147B1">
        <w:rPr>
          <w:lang w:val="en-GB"/>
        </w:rPr>
        <w:t xml:space="preserve"> the</w:t>
      </w:r>
      <w:r w:rsidRPr="00C147B1">
        <w:t xml:space="preserve"> attachment which shows provisional </w:t>
      </w:r>
      <w:r w:rsidR="00FB2E77">
        <w:rPr>
          <w:lang w:val="en-GB"/>
        </w:rPr>
        <w:t xml:space="preserve">key performance indicators </w:t>
      </w:r>
      <w:r w:rsidRPr="00C147B1">
        <w:t>position and an update of activity for children looked after</w:t>
      </w:r>
      <w:r w:rsidRPr="00C147B1">
        <w:rPr>
          <w:lang w:val="en-GB"/>
        </w:rPr>
        <w:t xml:space="preserve"> (CLA)</w:t>
      </w:r>
      <w:r w:rsidRPr="00C147B1">
        <w:t xml:space="preserve"> </w:t>
      </w:r>
      <w:r w:rsidRPr="00C147B1">
        <w:rPr>
          <w:lang w:val="en-GB"/>
        </w:rPr>
        <w:t xml:space="preserve">at the end of </w:t>
      </w:r>
      <w:r w:rsidR="00FB2E77">
        <w:rPr>
          <w:lang w:val="en-GB"/>
        </w:rPr>
        <w:t xml:space="preserve">June </w:t>
      </w:r>
      <w:r w:rsidRPr="00C147B1">
        <w:rPr>
          <w:lang w:val="en-GB"/>
        </w:rPr>
        <w:t>where available.</w:t>
      </w:r>
      <w:r w:rsidRPr="00C147B1">
        <w:t xml:space="preserve"> </w:t>
      </w:r>
    </w:p>
    <w:p w14:paraId="1179C77C" w14:textId="77777777" w:rsidR="00C22FF4" w:rsidRDefault="00C22FF4" w:rsidP="00C22FF4">
      <w:pPr>
        <w:pStyle w:val="BodyText2"/>
        <w:spacing w:after="0" w:line="240" w:lineRule="auto"/>
        <w:rPr>
          <w:lang w:val="en-GB"/>
        </w:rPr>
      </w:pPr>
    </w:p>
    <w:p w14:paraId="1179C77D" w14:textId="77777777" w:rsidR="00C22FF4" w:rsidRDefault="00C22FF4" w:rsidP="00C22FF4">
      <w:pPr>
        <w:pStyle w:val="BodyText2"/>
        <w:spacing w:after="0" w:line="240" w:lineRule="auto"/>
        <w:rPr>
          <w:b/>
          <w:lang w:val="en-GB"/>
        </w:rPr>
      </w:pPr>
      <w:r w:rsidRPr="00EC6B23">
        <w:rPr>
          <w:b/>
          <w:lang w:val="en-GB"/>
        </w:rPr>
        <w:t>Key Points:</w:t>
      </w:r>
    </w:p>
    <w:p w14:paraId="74A77EEC" w14:textId="77777777" w:rsidR="00D417DF" w:rsidRDefault="00D417DF" w:rsidP="00C22FF4">
      <w:pPr>
        <w:pStyle w:val="BodyText2"/>
        <w:spacing w:after="0" w:line="240" w:lineRule="auto"/>
        <w:rPr>
          <w:b/>
          <w:lang w:val="en-GB"/>
        </w:rPr>
      </w:pPr>
    </w:p>
    <w:p w14:paraId="0AC140FF" w14:textId="77777777" w:rsidR="00381EA3" w:rsidRDefault="00381EA3" w:rsidP="00C7005C">
      <w:pPr>
        <w:pStyle w:val="BodyText2"/>
        <w:numPr>
          <w:ilvl w:val="0"/>
          <w:numId w:val="46"/>
        </w:numPr>
        <w:spacing w:after="0" w:line="240" w:lineRule="auto"/>
        <w:rPr>
          <w:lang w:val="en-GB"/>
        </w:rPr>
      </w:pPr>
      <w:r>
        <w:rPr>
          <w:lang w:val="en-GB"/>
        </w:rPr>
        <w:t>Rate of CLA has been increasing since year on year since March 2018.</w:t>
      </w:r>
    </w:p>
    <w:p w14:paraId="69CE8620" w14:textId="77777777" w:rsidR="00381EA3" w:rsidRDefault="00381EA3" w:rsidP="00381EA3">
      <w:pPr>
        <w:pStyle w:val="BodyText2"/>
        <w:spacing w:after="0" w:line="240" w:lineRule="auto"/>
        <w:ind w:left="720"/>
        <w:rPr>
          <w:lang w:val="en-GB"/>
        </w:rPr>
      </w:pPr>
    </w:p>
    <w:p w14:paraId="4D62113D" w14:textId="32E72DA3" w:rsidR="001413D5" w:rsidRDefault="00652FBC" w:rsidP="00C7005C">
      <w:pPr>
        <w:pStyle w:val="BodyText2"/>
        <w:numPr>
          <w:ilvl w:val="0"/>
          <w:numId w:val="46"/>
        </w:numPr>
        <w:spacing w:after="0" w:line="240" w:lineRule="auto"/>
        <w:rPr>
          <w:lang w:val="en-GB"/>
        </w:rPr>
      </w:pPr>
      <w:r>
        <w:rPr>
          <w:lang w:val="en-GB"/>
        </w:rPr>
        <w:t>R</w:t>
      </w:r>
      <w:r w:rsidR="001413D5">
        <w:rPr>
          <w:lang w:val="en-GB"/>
        </w:rPr>
        <w:t>eview timeliness of CLA remains strong and ahead of our 95% target with 98.4% of CLA having been reviewed within timescales.</w:t>
      </w:r>
    </w:p>
    <w:p w14:paraId="3FDACA3D" w14:textId="77777777" w:rsidR="00652FBC" w:rsidRDefault="00652FBC" w:rsidP="00652FBC">
      <w:pPr>
        <w:pStyle w:val="BodyText2"/>
        <w:spacing w:after="0" w:line="240" w:lineRule="auto"/>
        <w:rPr>
          <w:lang w:val="en-GB"/>
        </w:rPr>
      </w:pPr>
    </w:p>
    <w:p w14:paraId="1179C796" w14:textId="11E3371A" w:rsidR="00C22FF4" w:rsidRPr="00652FBC" w:rsidRDefault="00652FBC" w:rsidP="00C7005C">
      <w:pPr>
        <w:pStyle w:val="BodyText2"/>
        <w:numPr>
          <w:ilvl w:val="0"/>
          <w:numId w:val="46"/>
        </w:numPr>
        <w:spacing w:after="0" w:line="240" w:lineRule="auto"/>
        <w:rPr>
          <w:lang w:val="en-GB"/>
        </w:rPr>
      </w:pPr>
      <w:r>
        <w:rPr>
          <w:lang w:val="en-GB"/>
        </w:rPr>
        <w:t xml:space="preserve">Placement indicators remain strong, coming in ahead of target and the statistical neighbour and England averages. 1% of CLA have had more than two placement moves in the year, 9 CLA have had 2 placements whereby another move would impact negatively on the indicator. </w:t>
      </w:r>
      <w:r>
        <w:rPr>
          <w:rFonts w:eastAsiaTheme="minorEastAsia" w:cs="Arial"/>
          <w:color w:val="000000" w:themeColor="text1"/>
          <w:kern w:val="24"/>
        </w:rPr>
        <w:t>The percentage of CLA looked after for 2.5 years who have been in the same placement for 2 years has increased to 78.1%</w:t>
      </w:r>
    </w:p>
    <w:p w14:paraId="3E5AAD48" w14:textId="77777777" w:rsidR="00652FBC" w:rsidRDefault="00652FBC" w:rsidP="00652FBC">
      <w:pPr>
        <w:pStyle w:val="ListParagraph"/>
      </w:pPr>
    </w:p>
    <w:p w14:paraId="54C5ABBF" w14:textId="4F0116E7" w:rsidR="00652FBC" w:rsidRDefault="00652FBC" w:rsidP="00C7005C">
      <w:pPr>
        <w:pStyle w:val="BodyText2"/>
        <w:numPr>
          <w:ilvl w:val="0"/>
          <w:numId w:val="46"/>
        </w:numPr>
        <w:spacing w:after="0" w:line="240" w:lineRule="auto"/>
        <w:rPr>
          <w:lang w:val="en-GB"/>
        </w:rPr>
      </w:pPr>
      <w:r>
        <w:rPr>
          <w:lang w:val="en-GB"/>
        </w:rPr>
        <w:t>Care leaver indicators around those in settled accommodation and those who are NEET, whilst showing improvement</w:t>
      </w:r>
      <w:r w:rsidR="008B3527">
        <w:rPr>
          <w:lang w:val="en-GB"/>
        </w:rPr>
        <w:t>, are</w:t>
      </w:r>
      <w:r>
        <w:rPr>
          <w:lang w:val="en-GB"/>
        </w:rPr>
        <w:t xml:space="preserve"> outside of our targets and comparator data. The restrictions of these indicators are that </w:t>
      </w:r>
      <w:r w:rsidR="008B3527">
        <w:rPr>
          <w:lang w:val="en-GB"/>
        </w:rPr>
        <w:t xml:space="preserve">the care leavers status can only be taken in the period 3 months before and 1 month after their birthday in year. Removing these constraints and looking at snapshot data the </w:t>
      </w:r>
      <w:r w:rsidR="00381EA3">
        <w:rPr>
          <w:lang w:val="en-GB"/>
        </w:rPr>
        <w:t xml:space="preserve">in </w:t>
      </w:r>
      <w:r w:rsidR="008B3527">
        <w:rPr>
          <w:lang w:val="en-GB"/>
        </w:rPr>
        <w:t>EET indicator shows considerable improvement.</w:t>
      </w:r>
    </w:p>
    <w:p w14:paraId="28EB5E1C" w14:textId="77777777" w:rsidR="008B3527" w:rsidRDefault="008B3527" w:rsidP="008B3527">
      <w:pPr>
        <w:pStyle w:val="ListParagraph"/>
      </w:pPr>
    </w:p>
    <w:p w14:paraId="634D560F" w14:textId="4AE9E2E3" w:rsidR="008B3527" w:rsidRDefault="008B3527" w:rsidP="00C7005C">
      <w:pPr>
        <w:pStyle w:val="BodyText2"/>
        <w:numPr>
          <w:ilvl w:val="0"/>
          <w:numId w:val="46"/>
        </w:numPr>
        <w:spacing w:after="0" w:line="240" w:lineRule="auto"/>
        <w:rPr>
          <w:lang w:val="en-GB"/>
        </w:rPr>
      </w:pPr>
      <w:r>
        <w:rPr>
          <w:lang w:val="en-GB"/>
        </w:rPr>
        <w:t>Overall CLA numbers have continued to increase along with our CLA rate per 10,000. We are currently at 195 CLA compared to 163 from the same quarter in the previous year. Despite the increase in CLA we still remain below comparator dat</w:t>
      </w:r>
      <w:r w:rsidR="00911A26">
        <w:rPr>
          <w:lang w:val="en-GB"/>
        </w:rPr>
        <w:t>a</w:t>
      </w:r>
      <w:r>
        <w:rPr>
          <w:lang w:val="en-GB"/>
        </w:rPr>
        <w:t>.</w:t>
      </w:r>
    </w:p>
    <w:p w14:paraId="471C5CC9" w14:textId="77777777" w:rsidR="008B3527" w:rsidRDefault="008B3527" w:rsidP="008B3527">
      <w:pPr>
        <w:pStyle w:val="ListParagraph"/>
      </w:pPr>
    </w:p>
    <w:p w14:paraId="6D072B7D" w14:textId="6AAB52FD" w:rsidR="008B3527" w:rsidRDefault="008B3527" w:rsidP="00C7005C">
      <w:pPr>
        <w:pStyle w:val="BodyText2"/>
        <w:numPr>
          <w:ilvl w:val="0"/>
          <w:numId w:val="46"/>
        </w:numPr>
        <w:spacing w:after="0" w:line="240" w:lineRule="auto"/>
        <w:rPr>
          <w:lang w:val="en-GB"/>
        </w:rPr>
      </w:pPr>
      <w:r>
        <w:rPr>
          <w:lang w:val="en-GB"/>
        </w:rPr>
        <w:t xml:space="preserve">There are no significant shifts in the age composition of our CLA cohort. The proportion of </w:t>
      </w:r>
      <w:r w:rsidR="007757DF">
        <w:rPr>
          <w:lang w:val="en-GB"/>
        </w:rPr>
        <w:t xml:space="preserve">CLA aged </w:t>
      </w:r>
      <w:r>
        <w:rPr>
          <w:lang w:val="en-GB"/>
        </w:rPr>
        <w:t>16 and17</w:t>
      </w:r>
      <w:r w:rsidR="007757DF">
        <w:rPr>
          <w:lang w:val="en-GB"/>
        </w:rPr>
        <w:t xml:space="preserve"> </w:t>
      </w:r>
      <w:r>
        <w:rPr>
          <w:lang w:val="en-GB"/>
        </w:rPr>
        <w:t>remains high</w:t>
      </w:r>
      <w:r w:rsidR="007757DF">
        <w:rPr>
          <w:lang w:val="en-GB"/>
        </w:rPr>
        <w:t xml:space="preserve"> compared to statistical neighbour and England averages</w:t>
      </w:r>
      <w:r>
        <w:rPr>
          <w:lang w:val="en-GB"/>
        </w:rPr>
        <w:t xml:space="preserve"> as was the case in the 2018/19 benchmarking figures.</w:t>
      </w:r>
    </w:p>
    <w:p w14:paraId="690CB64E" w14:textId="77777777" w:rsidR="008B3527" w:rsidRDefault="008B3527" w:rsidP="008B3527">
      <w:pPr>
        <w:pStyle w:val="ListParagraph"/>
      </w:pPr>
    </w:p>
    <w:p w14:paraId="59749889" w14:textId="58AE5BEF" w:rsidR="008B3527" w:rsidRDefault="008B3527" w:rsidP="00C7005C">
      <w:pPr>
        <w:pStyle w:val="BodyText2"/>
        <w:numPr>
          <w:ilvl w:val="0"/>
          <w:numId w:val="46"/>
        </w:numPr>
        <w:spacing w:after="0" w:line="240" w:lineRule="auto"/>
        <w:rPr>
          <w:lang w:val="en-GB"/>
        </w:rPr>
      </w:pPr>
      <w:r>
        <w:rPr>
          <w:lang w:val="en-GB"/>
        </w:rPr>
        <w:t xml:space="preserve">Just under three quarters of our CLA come from BME </w:t>
      </w:r>
      <w:r w:rsidR="007F2E35">
        <w:rPr>
          <w:lang w:val="en-GB"/>
        </w:rPr>
        <w:t xml:space="preserve">ethnicity groups which is higher than the statistical neighbour and England averages. </w:t>
      </w:r>
      <w:r w:rsidR="007F2E35">
        <w:rPr>
          <w:lang w:val="en-GB"/>
        </w:rPr>
        <w:lastRenderedPageBreak/>
        <w:t>Proportionally we have a much higher percentage of CLA which class themselves from ‘Other Ethnic Groups’</w:t>
      </w:r>
    </w:p>
    <w:p w14:paraId="733BAAE7" w14:textId="77777777" w:rsidR="007F2E35" w:rsidRDefault="007F2E35" w:rsidP="007F2E35">
      <w:pPr>
        <w:pStyle w:val="ListParagraph"/>
      </w:pPr>
    </w:p>
    <w:p w14:paraId="3409B398" w14:textId="35418291" w:rsidR="007F2E35" w:rsidRDefault="007F2E35" w:rsidP="00C7005C">
      <w:pPr>
        <w:pStyle w:val="BodyText2"/>
        <w:numPr>
          <w:ilvl w:val="0"/>
          <w:numId w:val="46"/>
        </w:numPr>
        <w:spacing w:after="0" w:line="240" w:lineRule="auto"/>
        <w:rPr>
          <w:lang w:val="en-GB"/>
        </w:rPr>
      </w:pPr>
      <w:r>
        <w:rPr>
          <w:lang w:val="en-GB"/>
        </w:rPr>
        <w:t>Education – due to the pandemic and the closing of academic institutions, education monitoring will resume in line with the starting of the new academic year when new education data is released.</w:t>
      </w:r>
    </w:p>
    <w:p w14:paraId="3FA7DC8D" w14:textId="77777777" w:rsidR="007F2E35" w:rsidRDefault="007F2E35" w:rsidP="007F2E35">
      <w:pPr>
        <w:pStyle w:val="ListParagraph"/>
      </w:pPr>
    </w:p>
    <w:p w14:paraId="3556026D" w14:textId="7A96A400" w:rsidR="007F2E35" w:rsidRDefault="007F2E35" w:rsidP="00C7005C">
      <w:pPr>
        <w:pStyle w:val="BodyText2"/>
        <w:numPr>
          <w:ilvl w:val="0"/>
          <w:numId w:val="46"/>
        </w:numPr>
        <w:spacing w:after="0" w:line="240" w:lineRule="auto"/>
        <w:rPr>
          <w:lang w:val="en-GB"/>
        </w:rPr>
      </w:pPr>
      <w:r>
        <w:rPr>
          <w:lang w:val="en-GB"/>
        </w:rPr>
        <w:t>There were no new adoptions or SGO’s in Q1 2020/21.</w:t>
      </w:r>
    </w:p>
    <w:p w14:paraId="2CD586EB" w14:textId="77777777" w:rsidR="007F2E35" w:rsidRDefault="007F2E35" w:rsidP="007F2E35">
      <w:pPr>
        <w:pStyle w:val="ListParagraph"/>
      </w:pPr>
    </w:p>
    <w:p w14:paraId="6B5E4B0C" w14:textId="463304C3" w:rsidR="00E6630B" w:rsidRPr="00381EA3" w:rsidRDefault="00E6630B" w:rsidP="00E6630B">
      <w:pPr>
        <w:pStyle w:val="BodyText2"/>
        <w:numPr>
          <w:ilvl w:val="0"/>
          <w:numId w:val="46"/>
        </w:numPr>
        <w:spacing w:after="0" w:line="240" w:lineRule="auto"/>
        <w:rPr>
          <w:lang w:val="en-GB"/>
        </w:rPr>
      </w:pPr>
      <w:r>
        <w:rPr>
          <w:lang w:val="en-GB"/>
        </w:rPr>
        <w:t xml:space="preserve">While the percentage of all CLA with an absent episode remains low and on target at 1.4% the percentage of CLA with a missing episode remains above the 3% target at 6.1%. </w:t>
      </w:r>
      <w:r>
        <w:t>We have a small but significant cohort of young people who have complex issues and have come into care. Missing children are a priority for Harrow and we have robust safeguards and scrutiny in place for all missing children, including: weekly review of missing children at Missing Children Panel. Extended Multiagency child exploitation panel arrangements are in place to review children at risk of criminal as well as sexual exploitation.</w:t>
      </w:r>
    </w:p>
    <w:p w14:paraId="7A34E8DD" w14:textId="77777777" w:rsidR="00381EA3" w:rsidRDefault="00381EA3" w:rsidP="00381EA3">
      <w:pPr>
        <w:pStyle w:val="ListParagraph"/>
      </w:pPr>
    </w:p>
    <w:p w14:paraId="1179C797" w14:textId="77777777" w:rsidR="005441BD" w:rsidRDefault="005441BD"/>
    <w:p w14:paraId="1179C798" w14:textId="77777777" w:rsidR="005441BD" w:rsidRDefault="005441BD">
      <w:pPr>
        <w:pStyle w:val="Heading2"/>
      </w:pPr>
      <w:r>
        <w:t>Options considered</w:t>
      </w:r>
    </w:p>
    <w:p w14:paraId="1179C799" w14:textId="77777777" w:rsidR="00C22FF4" w:rsidRDefault="00C22FF4" w:rsidP="00C22FF4"/>
    <w:p w14:paraId="1179C79A" w14:textId="77777777" w:rsidR="00C22FF4" w:rsidRPr="004A4141" w:rsidRDefault="00C22FF4" w:rsidP="00C22FF4">
      <w:r w:rsidRPr="004A4141">
        <w:t>Not applicable as this is an information report.</w:t>
      </w:r>
    </w:p>
    <w:p w14:paraId="1179C79B" w14:textId="77777777" w:rsidR="00C22FF4" w:rsidRDefault="00C22FF4" w:rsidP="000D5D8B"/>
    <w:p w14:paraId="1179C79C" w14:textId="77777777" w:rsidR="00B82309" w:rsidRDefault="00B82309" w:rsidP="00B82309">
      <w:pPr>
        <w:pStyle w:val="Heading2"/>
      </w:pPr>
      <w:r>
        <w:t>Risk Management Implications</w:t>
      </w:r>
    </w:p>
    <w:p w14:paraId="1179C79D" w14:textId="77777777" w:rsidR="000D5D8B" w:rsidRDefault="000D5D8B" w:rsidP="000D5D8B">
      <w:pPr>
        <w:rPr>
          <w:b/>
          <w:sz w:val="28"/>
          <w:szCs w:val="28"/>
        </w:rPr>
      </w:pPr>
    </w:p>
    <w:p w14:paraId="1179C79E" w14:textId="77777777" w:rsidR="00C22FF4" w:rsidRPr="004A4141" w:rsidRDefault="00C22FF4" w:rsidP="00C22FF4">
      <w:pPr>
        <w:pStyle w:val="Heading2"/>
        <w:rPr>
          <w:b w:val="0"/>
          <w:sz w:val="24"/>
          <w:szCs w:val="24"/>
        </w:rPr>
      </w:pPr>
      <w:r w:rsidRPr="004A4141">
        <w:rPr>
          <w:b w:val="0"/>
          <w:sz w:val="24"/>
          <w:szCs w:val="24"/>
        </w:rPr>
        <w:t>The Children’s Services Risk Register has been updated to reflect the performance risks highlighted in this report.</w:t>
      </w:r>
    </w:p>
    <w:p w14:paraId="1179C79F" w14:textId="77777777" w:rsidR="00C22FF4" w:rsidRPr="004A4141" w:rsidRDefault="00C22FF4" w:rsidP="00C22FF4">
      <w:pPr>
        <w:pStyle w:val="infotext0"/>
        <w:spacing w:before="0" w:beforeAutospacing="0" w:after="0" w:afterAutospacing="0"/>
        <w:ind w:right="81"/>
        <w:rPr>
          <w:rFonts w:ascii="Arial" w:hAnsi="Arial" w:cs="Arial"/>
        </w:rPr>
      </w:pPr>
    </w:p>
    <w:p w14:paraId="1179C7A0" w14:textId="77777777" w:rsidR="00C22FF4" w:rsidRPr="004A4141" w:rsidRDefault="00C22FF4" w:rsidP="00C22FF4">
      <w:pPr>
        <w:pStyle w:val="infotext0"/>
        <w:spacing w:before="0" w:beforeAutospacing="0" w:after="0" w:afterAutospacing="0"/>
        <w:ind w:right="81"/>
        <w:rPr>
          <w:rFonts w:ascii="Tahoma" w:hAnsi="Tahoma" w:cs="Tahoma"/>
        </w:rPr>
      </w:pPr>
      <w:r w:rsidRPr="004A4141">
        <w:rPr>
          <w:rFonts w:ascii="Arial" w:hAnsi="Arial" w:cs="Arial"/>
        </w:rPr>
        <w:t xml:space="preserve">Risk included on Directorate risk register?  Yes </w:t>
      </w:r>
    </w:p>
    <w:p w14:paraId="1179C7A1" w14:textId="77777777" w:rsidR="00C22FF4" w:rsidRPr="004A4141" w:rsidRDefault="00C22FF4" w:rsidP="00C22FF4">
      <w:pPr>
        <w:ind w:right="141"/>
        <w:rPr>
          <w:rFonts w:cs="Arial"/>
          <w:szCs w:val="24"/>
          <w:lang w:val="en-US"/>
        </w:rPr>
      </w:pPr>
    </w:p>
    <w:p w14:paraId="1179C7A2" w14:textId="77777777" w:rsidR="00C22FF4" w:rsidRPr="004A4141" w:rsidRDefault="00C22FF4" w:rsidP="00C22FF4">
      <w:pPr>
        <w:ind w:right="141"/>
        <w:rPr>
          <w:rFonts w:cs="Arial"/>
          <w:szCs w:val="24"/>
          <w:lang w:val="en-US"/>
        </w:rPr>
      </w:pPr>
      <w:r w:rsidRPr="004A4141">
        <w:rPr>
          <w:rFonts w:cs="Arial"/>
          <w:szCs w:val="24"/>
          <w:lang w:val="en-US"/>
        </w:rPr>
        <w:t>Separate risk register in place?  No</w:t>
      </w:r>
    </w:p>
    <w:p w14:paraId="1179C7A3" w14:textId="77777777" w:rsidR="00B82309" w:rsidRDefault="00B82309">
      <w:pPr>
        <w:rPr>
          <w:color w:val="0000FF"/>
        </w:rPr>
      </w:pPr>
    </w:p>
    <w:p w14:paraId="1179C7A4" w14:textId="77777777" w:rsidR="008D0B76" w:rsidRDefault="008D0B76" w:rsidP="008D0B76">
      <w:pPr>
        <w:pStyle w:val="Heading2"/>
      </w:pPr>
      <w:r>
        <w:t>Legal Implications</w:t>
      </w:r>
    </w:p>
    <w:p w14:paraId="1179C7A5" w14:textId="77777777" w:rsidR="008D0B76" w:rsidRDefault="008D0B76" w:rsidP="008D0B76">
      <w:pPr>
        <w:pStyle w:val="Heading4"/>
        <w:rPr>
          <w:b w:val="0"/>
        </w:rPr>
      </w:pPr>
    </w:p>
    <w:p w14:paraId="1179C7A6" w14:textId="77777777" w:rsidR="00C22FF4" w:rsidRDefault="00C22FF4" w:rsidP="00C22FF4">
      <w:r w:rsidRPr="004A4141">
        <w:t>Not applicable as this is an information report.</w:t>
      </w:r>
    </w:p>
    <w:p w14:paraId="1179C7A7" w14:textId="77777777" w:rsidR="008D0B76" w:rsidRDefault="008D0B76" w:rsidP="008D0B76">
      <w:pPr>
        <w:pStyle w:val="Heading4"/>
        <w:rPr>
          <w:b w:val="0"/>
        </w:rPr>
      </w:pPr>
    </w:p>
    <w:p w14:paraId="1179C7A8" w14:textId="77777777" w:rsidR="005441BD" w:rsidRDefault="005441BD">
      <w:pPr>
        <w:pStyle w:val="Heading2"/>
      </w:pPr>
      <w:r>
        <w:t>Financial Implications</w:t>
      </w:r>
    </w:p>
    <w:p w14:paraId="1179C7A9" w14:textId="77777777" w:rsidR="008D0B76" w:rsidRDefault="008D0B76"/>
    <w:p w14:paraId="1179C7AA" w14:textId="77777777" w:rsidR="00C22FF4" w:rsidRPr="004A4141" w:rsidRDefault="00C22FF4" w:rsidP="00C22FF4">
      <w:pPr>
        <w:pStyle w:val="Heading2"/>
        <w:rPr>
          <w:b w:val="0"/>
          <w:sz w:val="24"/>
          <w:szCs w:val="24"/>
        </w:rPr>
      </w:pPr>
      <w:r w:rsidRPr="004A4141">
        <w:rPr>
          <w:b w:val="0"/>
          <w:sz w:val="24"/>
          <w:szCs w:val="24"/>
        </w:rPr>
        <w:t>There are no financial implications arising from this report.</w:t>
      </w:r>
    </w:p>
    <w:p w14:paraId="1179C7AB" w14:textId="77777777" w:rsidR="005441BD" w:rsidRDefault="005441BD">
      <w:pPr>
        <w:rPr>
          <w:rFonts w:cs="Arial"/>
        </w:rPr>
      </w:pPr>
    </w:p>
    <w:p w14:paraId="1179C7AC" w14:textId="77777777" w:rsidR="00A274AC" w:rsidRDefault="00A274AC">
      <w:pPr>
        <w:rPr>
          <w:rFonts w:cs="Arial"/>
        </w:rPr>
      </w:pPr>
    </w:p>
    <w:p w14:paraId="1179C7AD" w14:textId="77777777" w:rsidR="000D5D8B" w:rsidRPr="00303FD6" w:rsidRDefault="000D5D8B" w:rsidP="000D5D8B">
      <w:pPr>
        <w:pStyle w:val="Heading2"/>
        <w:keepNext/>
        <w:rPr>
          <w:color w:val="FF0000"/>
        </w:rPr>
      </w:pPr>
      <w:r w:rsidRPr="004A2543">
        <w:t>Equalities implications</w:t>
      </w:r>
      <w:r>
        <w:t xml:space="preserve"> </w:t>
      </w:r>
      <w:r w:rsidRPr="00333FAA">
        <w:t>/</w:t>
      </w:r>
      <w:r>
        <w:t xml:space="preserve"> </w:t>
      </w:r>
      <w:r w:rsidRPr="00333FAA">
        <w:t>Public Sector Equality Duty</w:t>
      </w:r>
    </w:p>
    <w:p w14:paraId="1179C7AE" w14:textId="77777777" w:rsidR="000D5D8B" w:rsidRDefault="000D5D8B" w:rsidP="000D5D8B"/>
    <w:p w14:paraId="1179C7AF" w14:textId="77777777" w:rsidR="00C22FF4" w:rsidRPr="004A4141" w:rsidRDefault="00C22FF4" w:rsidP="00C22FF4">
      <w:r w:rsidRPr="004A4141">
        <w:t>Not applicable as this is an information report.</w:t>
      </w:r>
    </w:p>
    <w:p w14:paraId="1179C7B0" w14:textId="77777777" w:rsidR="00CE76B5" w:rsidRDefault="00CE76B5" w:rsidP="00612A64">
      <w:pPr>
        <w:ind w:right="141"/>
        <w:rPr>
          <w:rFonts w:cs="Arial"/>
          <w:szCs w:val="24"/>
          <w:lang w:val="en-US"/>
        </w:rPr>
      </w:pPr>
    </w:p>
    <w:p w14:paraId="1179C7B1" w14:textId="77777777" w:rsidR="002D7BE3" w:rsidRDefault="002D7BE3" w:rsidP="00612A64">
      <w:pPr>
        <w:ind w:right="141"/>
        <w:rPr>
          <w:rFonts w:cs="Arial"/>
          <w:szCs w:val="24"/>
          <w:lang w:val="en-US"/>
        </w:rPr>
      </w:pPr>
    </w:p>
    <w:p w14:paraId="1179C7B2" w14:textId="77777777" w:rsidR="00EC6B23" w:rsidRDefault="00EC6B23" w:rsidP="00432050">
      <w:pPr>
        <w:pStyle w:val="Heading2"/>
        <w:rPr>
          <w:szCs w:val="28"/>
        </w:rPr>
      </w:pPr>
    </w:p>
    <w:p w14:paraId="1179C7B3" w14:textId="77777777" w:rsidR="00EC6B23" w:rsidRDefault="00EC6B23" w:rsidP="00432050">
      <w:pPr>
        <w:pStyle w:val="Heading2"/>
        <w:rPr>
          <w:szCs w:val="28"/>
        </w:rPr>
      </w:pPr>
    </w:p>
    <w:p w14:paraId="1179C7B4" w14:textId="77777777" w:rsidR="00C674CF" w:rsidRDefault="00D33AE8" w:rsidP="00EC6B23">
      <w:pPr>
        <w:pStyle w:val="Heading2"/>
      </w:pPr>
      <w:r w:rsidRPr="00D33AE8">
        <w:rPr>
          <w:szCs w:val="28"/>
        </w:rPr>
        <w:t>Council</w:t>
      </w:r>
      <w:r>
        <w:rPr>
          <w:b w:val="0"/>
          <w:szCs w:val="28"/>
        </w:rPr>
        <w:t xml:space="preserve"> </w:t>
      </w:r>
      <w:r w:rsidR="00432050" w:rsidRPr="00CD57D8">
        <w:t>Priorities</w:t>
      </w:r>
    </w:p>
    <w:p w14:paraId="1179C7B5" w14:textId="77777777" w:rsidR="00A5613C" w:rsidRDefault="00A5613C" w:rsidP="00A5613C">
      <w:pPr>
        <w:autoSpaceDE w:val="0"/>
        <w:autoSpaceDN w:val="0"/>
        <w:rPr>
          <w:b/>
          <w:bCs/>
        </w:rPr>
      </w:pPr>
    </w:p>
    <w:p w14:paraId="1179C7B6" w14:textId="77777777" w:rsidR="00A5613C" w:rsidRDefault="00A5613C" w:rsidP="00EC6B23">
      <w:pPr>
        <w:pStyle w:val="ListParagraph"/>
        <w:autoSpaceDE w:val="0"/>
        <w:autoSpaceDN w:val="0"/>
        <w:contextualSpacing/>
        <w:rPr>
          <w:b/>
          <w:bCs/>
        </w:rPr>
      </w:pPr>
      <w:r>
        <w:rPr>
          <w:b/>
          <w:bCs/>
        </w:rPr>
        <w:lastRenderedPageBreak/>
        <w:t>Supporting Those Most in Need</w:t>
      </w:r>
    </w:p>
    <w:p w14:paraId="1179C7B7" w14:textId="77777777" w:rsidR="00A5613C" w:rsidRDefault="00A5613C" w:rsidP="00A5613C">
      <w:pPr>
        <w:pStyle w:val="ListParagraph"/>
        <w:numPr>
          <w:ilvl w:val="0"/>
          <w:numId w:val="35"/>
        </w:numPr>
        <w:autoSpaceDE w:val="0"/>
        <w:autoSpaceDN w:val="0"/>
        <w:contextualSpacing/>
      </w:pPr>
      <w:r>
        <w:t>Children and young people are given the opportunities to have the best start in life and families can thrive</w:t>
      </w:r>
    </w:p>
    <w:p w14:paraId="1179C7B8" w14:textId="77777777" w:rsidR="00A5613C" w:rsidRDefault="00A5613C" w:rsidP="00A5613C"/>
    <w:p w14:paraId="1179C7B9" w14:textId="77777777" w:rsidR="00A5613C" w:rsidRPr="00F22C98" w:rsidRDefault="00A5613C" w:rsidP="00A5613C"/>
    <w:p w14:paraId="1179C7BA" w14:textId="77777777" w:rsidR="005441BD" w:rsidRDefault="005441BD" w:rsidP="000C31CE">
      <w:pPr>
        <w:pStyle w:val="Heading1"/>
        <w:keepNext/>
      </w:pPr>
      <w:r>
        <w:t>Section 3 - Statutory Officer Clearance</w:t>
      </w:r>
    </w:p>
    <w:p w14:paraId="1179C7BB" w14:textId="77777777" w:rsidR="007D1C96" w:rsidRPr="00C817CB" w:rsidRDefault="007D1C96" w:rsidP="007D1C96">
      <w:pPr>
        <w:keepNext/>
        <w:rPr>
          <w:rFonts w:ascii="Arial Black" w:hAnsi="Arial Black" w:cs="Arial"/>
          <w:color w:val="0000FF"/>
          <w:szCs w:val="24"/>
        </w:rPr>
      </w:pPr>
      <w:r w:rsidRPr="00C817CB">
        <w:rPr>
          <w:rFonts w:ascii="Arial Black" w:hAnsi="Arial Black"/>
          <w:color w:val="0000FF"/>
          <w:szCs w:val="24"/>
        </w:rPr>
        <w:t xml:space="preserve">[Note:  If the report is for </w:t>
      </w:r>
      <w:r w:rsidRPr="00C817CB">
        <w:rPr>
          <w:rFonts w:ascii="Arial Black" w:hAnsi="Arial Black"/>
          <w:color w:val="0000FF"/>
          <w:szCs w:val="24"/>
          <w:u w:val="single"/>
        </w:rPr>
        <w:t>information only</w:t>
      </w:r>
      <w:r w:rsidRPr="00C817CB">
        <w:rPr>
          <w:rFonts w:ascii="Arial Black" w:hAnsi="Arial Black"/>
          <w:color w:val="0000FF"/>
          <w:szCs w:val="24"/>
        </w:rPr>
        <w:t>, it is the author’s responsibility to decide whether legal and/or financial clearances are necessary.  If not, the report can be submitted without these consents.]</w:t>
      </w:r>
    </w:p>
    <w:p w14:paraId="1179C7BC" w14:textId="77777777" w:rsidR="005441BD" w:rsidRDefault="005441BD" w:rsidP="000C31CE">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5441BD" w14:paraId="1179C7C3" w14:textId="77777777">
        <w:tc>
          <w:tcPr>
            <w:tcW w:w="2791" w:type="pct"/>
            <w:tcBorders>
              <w:bottom w:val="nil"/>
              <w:right w:val="nil"/>
            </w:tcBorders>
          </w:tcPr>
          <w:p w14:paraId="1179C7BD" w14:textId="77777777" w:rsidR="005441BD" w:rsidRDefault="005441BD">
            <w:pPr>
              <w:pStyle w:val="Infotext"/>
            </w:pPr>
          </w:p>
          <w:p w14:paraId="1179C7BE" w14:textId="77777777" w:rsidR="005441BD" w:rsidRDefault="005441BD">
            <w:pPr>
              <w:pStyle w:val="Infotext"/>
            </w:pPr>
          </w:p>
        </w:tc>
        <w:tc>
          <w:tcPr>
            <w:tcW w:w="138" w:type="pct"/>
            <w:tcBorders>
              <w:left w:val="nil"/>
              <w:right w:val="nil"/>
            </w:tcBorders>
          </w:tcPr>
          <w:p w14:paraId="1179C7BF" w14:textId="77777777" w:rsidR="005441BD" w:rsidRDefault="005441BD">
            <w:pPr>
              <w:pStyle w:val="Infotext"/>
            </w:pPr>
          </w:p>
        </w:tc>
        <w:tc>
          <w:tcPr>
            <w:tcW w:w="138" w:type="pct"/>
            <w:tcBorders>
              <w:left w:val="nil"/>
              <w:bottom w:val="nil"/>
              <w:right w:val="nil"/>
            </w:tcBorders>
          </w:tcPr>
          <w:p w14:paraId="1179C7C0" w14:textId="77777777" w:rsidR="005441BD" w:rsidRDefault="005441BD">
            <w:pPr>
              <w:pStyle w:val="Infotext"/>
            </w:pPr>
          </w:p>
        </w:tc>
        <w:tc>
          <w:tcPr>
            <w:tcW w:w="1932" w:type="pct"/>
            <w:tcBorders>
              <w:left w:val="nil"/>
              <w:bottom w:val="nil"/>
            </w:tcBorders>
          </w:tcPr>
          <w:p w14:paraId="1179C7C1" w14:textId="77777777" w:rsidR="005441BD" w:rsidRDefault="005441BD">
            <w:pPr>
              <w:pStyle w:val="Infotext"/>
            </w:pPr>
          </w:p>
          <w:p w14:paraId="1179C7C2" w14:textId="77777777" w:rsidR="005441BD" w:rsidRDefault="005441BD">
            <w:pPr>
              <w:pStyle w:val="Infotext"/>
            </w:pPr>
            <w:r>
              <w:t>on behalf of the*</w:t>
            </w:r>
          </w:p>
        </w:tc>
      </w:tr>
      <w:tr w:rsidR="005441BD" w14:paraId="1179C7C8" w14:textId="77777777">
        <w:tc>
          <w:tcPr>
            <w:tcW w:w="2791" w:type="pct"/>
            <w:tcBorders>
              <w:top w:val="nil"/>
              <w:bottom w:val="nil"/>
            </w:tcBorders>
          </w:tcPr>
          <w:p w14:paraId="1179C7C4" w14:textId="4786E161" w:rsidR="005441BD" w:rsidRDefault="005441BD" w:rsidP="00B767CF">
            <w:pPr>
              <w:pStyle w:val="Infotext"/>
            </w:pPr>
            <w:r>
              <w:t>Name:</w:t>
            </w:r>
            <w:r w:rsidR="00B767CF">
              <w:t xml:space="preserve">  </w:t>
            </w:r>
            <w:r w:rsidR="007757DF">
              <w:t>Sharon Daniels</w:t>
            </w:r>
          </w:p>
        </w:tc>
        <w:tc>
          <w:tcPr>
            <w:tcW w:w="138" w:type="pct"/>
            <w:tcBorders>
              <w:bottom w:val="single" w:sz="4" w:space="0" w:color="auto"/>
            </w:tcBorders>
          </w:tcPr>
          <w:p w14:paraId="1179C7C5" w14:textId="1C8111EB" w:rsidR="005441BD" w:rsidRDefault="007757DF">
            <w:pPr>
              <w:pStyle w:val="Infotext"/>
            </w:pPr>
            <w:r>
              <w:t>X</w:t>
            </w:r>
          </w:p>
        </w:tc>
        <w:tc>
          <w:tcPr>
            <w:tcW w:w="138" w:type="pct"/>
            <w:tcBorders>
              <w:top w:val="nil"/>
              <w:bottom w:val="nil"/>
              <w:right w:val="nil"/>
            </w:tcBorders>
          </w:tcPr>
          <w:p w14:paraId="1179C7C6" w14:textId="77777777" w:rsidR="005441BD" w:rsidRDefault="005441BD">
            <w:pPr>
              <w:pStyle w:val="Infotext"/>
            </w:pPr>
          </w:p>
        </w:tc>
        <w:tc>
          <w:tcPr>
            <w:tcW w:w="1932" w:type="pct"/>
            <w:tcBorders>
              <w:top w:val="nil"/>
              <w:left w:val="nil"/>
              <w:bottom w:val="nil"/>
            </w:tcBorders>
          </w:tcPr>
          <w:p w14:paraId="1179C7C7" w14:textId="77777777" w:rsidR="005441BD" w:rsidRDefault="005441BD">
            <w:pPr>
              <w:pStyle w:val="Infotext"/>
            </w:pPr>
            <w:r>
              <w:t>Chief Financial Officer</w:t>
            </w:r>
          </w:p>
        </w:tc>
      </w:tr>
      <w:tr w:rsidR="005441BD" w14:paraId="1179C7CE" w14:textId="77777777">
        <w:tc>
          <w:tcPr>
            <w:tcW w:w="2791" w:type="pct"/>
            <w:tcBorders>
              <w:top w:val="nil"/>
              <w:right w:val="nil"/>
            </w:tcBorders>
          </w:tcPr>
          <w:p w14:paraId="1179C7C9" w14:textId="77777777" w:rsidR="005441BD" w:rsidRDefault="005441BD">
            <w:pPr>
              <w:pStyle w:val="Infotext"/>
            </w:pPr>
            <w:r>
              <w:t xml:space="preserve"> </w:t>
            </w:r>
          </w:p>
          <w:p w14:paraId="1179C7CA" w14:textId="0827A992" w:rsidR="005441BD" w:rsidRDefault="005441BD" w:rsidP="0014267E">
            <w:pPr>
              <w:pStyle w:val="Infotext"/>
            </w:pPr>
            <w:r>
              <w:t xml:space="preserve">Date: </w:t>
            </w:r>
            <w:r w:rsidR="007757DF">
              <w:t>25/09/2020</w:t>
            </w:r>
          </w:p>
        </w:tc>
        <w:tc>
          <w:tcPr>
            <w:tcW w:w="138" w:type="pct"/>
            <w:tcBorders>
              <w:left w:val="nil"/>
              <w:bottom w:val="single" w:sz="4" w:space="0" w:color="auto"/>
              <w:right w:val="nil"/>
            </w:tcBorders>
          </w:tcPr>
          <w:p w14:paraId="1179C7CB" w14:textId="77777777" w:rsidR="005441BD" w:rsidRDefault="005441BD">
            <w:pPr>
              <w:pStyle w:val="Infotext"/>
            </w:pPr>
          </w:p>
        </w:tc>
        <w:tc>
          <w:tcPr>
            <w:tcW w:w="138" w:type="pct"/>
            <w:tcBorders>
              <w:top w:val="nil"/>
              <w:left w:val="nil"/>
              <w:right w:val="nil"/>
            </w:tcBorders>
          </w:tcPr>
          <w:p w14:paraId="1179C7CC" w14:textId="77777777" w:rsidR="005441BD" w:rsidRDefault="005441BD">
            <w:pPr>
              <w:pStyle w:val="Infotext"/>
            </w:pPr>
          </w:p>
        </w:tc>
        <w:tc>
          <w:tcPr>
            <w:tcW w:w="1932" w:type="pct"/>
            <w:tcBorders>
              <w:top w:val="nil"/>
              <w:left w:val="nil"/>
            </w:tcBorders>
          </w:tcPr>
          <w:p w14:paraId="1179C7CD" w14:textId="77777777" w:rsidR="005441BD" w:rsidRDefault="005441BD">
            <w:pPr>
              <w:pStyle w:val="Infotext"/>
            </w:pPr>
          </w:p>
        </w:tc>
      </w:tr>
      <w:tr w:rsidR="005441BD" w14:paraId="1179C7D5" w14:textId="77777777">
        <w:tc>
          <w:tcPr>
            <w:tcW w:w="2791" w:type="pct"/>
            <w:tcBorders>
              <w:bottom w:val="nil"/>
              <w:right w:val="nil"/>
            </w:tcBorders>
          </w:tcPr>
          <w:p w14:paraId="1179C7CF" w14:textId="77777777" w:rsidR="005441BD" w:rsidRDefault="005441BD">
            <w:pPr>
              <w:pStyle w:val="Infotext"/>
            </w:pPr>
          </w:p>
          <w:p w14:paraId="1179C7D0" w14:textId="77777777" w:rsidR="005441BD" w:rsidRDefault="005441BD">
            <w:pPr>
              <w:pStyle w:val="Infotext"/>
            </w:pPr>
          </w:p>
        </w:tc>
        <w:tc>
          <w:tcPr>
            <w:tcW w:w="138" w:type="pct"/>
            <w:tcBorders>
              <w:left w:val="nil"/>
              <w:right w:val="nil"/>
            </w:tcBorders>
          </w:tcPr>
          <w:p w14:paraId="1179C7D1" w14:textId="77777777" w:rsidR="005441BD" w:rsidRDefault="005441BD">
            <w:pPr>
              <w:pStyle w:val="Infotext"/>
            </w:pPr>
          </w:p>
        </w:tc>
        <w:tc>
          <w:tcPr>
            <w:tcW w:w="138" w:type="pct"/>
            <w:tcBorders>
              <w:left w:val="nil"/>
              <w:bottom w:val="nil"/>
              <w:right w:val="nil"/>
            </w:tcBorders>
          </w:tcPr>
          <w:p w14:paraId="1179C7D2" w14:textId="77777777" w:rsidR="005441BD" w:rsidRDefault="005441BD">
            <w:pPr>
              <w:pStyle w:val="Infotext"/>
            </w:pPr>
          </w:p>
        </w:tc>
        <w:tc>
          <w:tcPr>
            <w:tcW w:w="1932" w:type="pct"/>
            <w:tcBorders>
              <w:left w:val="nil"/>
              <w:bottom w:val="nil"/>
            </w:tcBorders>
          </w:tcPr>
          <w:p w14:paraId="1179C7D3" w14:textId="77777777" w:rsidR="005441BD" w:rsidRDefault="005441BD">
            <w:pPr>
              <w:pStyle w:val="Infotext"/>
            </w:pPr>
          </w:p>
          <w:p w14:paraId="1179C7D4" w14:textId="77777777" w:rsidR="005441BD" w:rsidRDefault="005441BD">
            <w:pPr>
              <w:pStyle w:val="Infotext"/>
            </w:pPr>
            <w:r>
              <w:t>on behalf of the*</w:t>
            </w:r>
          </w:p>
        </w:tc>
      </w:tr>
      <w:tr w:rsidR="005441BD" w14:paraId="1179C7DA" w14:textId="77777777">
        <w:tc>
          <w:tcPr>
            <w:tcW w:w="2791" w:type="pct"/>
            <w:tcBorders>
              <w:top w:val="nil"/>
              <w:bottom w:val="nil"/>
            </w:tcBorders>
          </w:tcPr>
          <w:p w14:paraId="1179C7D6" w14:textId="77777777" w:rsidR="005441BD" w:rsidRDefault="005441BD" w:rsidP="00B767CF">
            <w:pPr>
              <w:pStyle w:val="Infotext"/>
            </w:pPr>
            <w:r>
              <w:t xml:space="preserve">Name: </w:t>
            </w:r>
            <w:r w:rsidR="00B767CF">
              <w:t xml:space="preserve"> </w:t>
            </w:r>
          </w:p>
        </w:tc>
        <w:tc>
          <w:tcPr>
            <w:tcW w:w="138" w:type="pct"/>
            <w:tcBorders>
              <w:bottom w:val="single" w:sz="4" w:space="0" w:color="auto"/>
            </w:tcBorders>
          </w:tcPr>
          <w:p w14:paraId="1179C7D7" w14:textId="77777777" w:rsidR="005441BD" w:rsidRDefault="005441BD">
            <w:pPr>
              <w:pStyle w:val="Infotext"/>
            </w:pPr>
          </w:p>
        </w:tc>
        <w:tc>
          <w:tcPr>
            <w:tcW w:w="138" w:type="pct"/>
            <w:tcBorders>
              <w:top w:val="nil"/>
              <w:bottom w:val="nil"/>
              <w:right w:val="nil"/>
            </w:tcBorders>
          </w:tcPr>
          <w:p w14:paraId="1179C7D8" w14:textId="77777777" w:rsidR="005441BD" w:rsidRDefault="005441BD">
            <w:pPr>
              <w:pStyle w:val="Infotext"/>
            </w:pPr>
          </w:p>
        </w:tc>
        <w:tc>
          <w:tcPr>
            <w:tcW w:w="1932" w:type="pct"/>
            <w:tcBorders>
              <w:top w:val="nil"/>
              <w:left w:val="nil"/>
              <w:bottom w:val="nil"/>
            </w:tcBorders>
          </w:tcPr>
          <w:p w14:paraId="1179C7D9" w14:textId="77777777" w:rsidR="005441BD" w:rsidRDefault="005441BD">
            <w:pPr>
              <w:pStyle w:val="Infotext"/>
            </w:pPr>
            <w:r>
              <w:t>Monitoring Officer</w:t>
            </w:r>
          </w:p>
        </w:tc>
      </w:tr>
      <w:tr w:rsidR="005441BD" w14:paraId="1179C7E1" w14:textId="77777777">
        <w:tc>
          <w:tcPr>
            <w:tcW w:w="2791" w:type="pct"/>
            <w:tcBorders>
              <w:top w:val="nil"/>
              <w:right w:val="nil"/>
            </w:tcBorders>
          </w:tcPr>
          <w:p w14:paraId="1179C7DB" w14:textId="77777777" w:rsidR="005441BD" w:rsidRDefault="005441BD">
            <w:pPr>
              <w:pStyle w:val="Infotext"/>
            </w:pPr>
          </w:p>
          <w:p w14:paraId="1179C7DC" w14:textId="77777777" w:rsidR="005441BD" w:rsidRDefault="005441BD" w:rsidP="00B767CF">
            <w:pPr>
              <w:pStyle w:val="Infotext"/>
            </w:pPr>
            <w:r>
              <w:t xml:space="preserve">Date: </w:t>
            </w:r>
            <w:r w:rsidR="00B767CF">
              <w:t xml:space="preserve"> </w:t>
            </w:r>
          </w:p>
        </w:tc>
        <w:tc>
          <w:tcPr>
            <w:tcW w:w="138" w:type="pct"/>
            <w:tcBorders>
              <w:left w:val="nil"/>
              <w:right w:val="nil"/>
            </w:tcBorders>
          </w:tcPr>
          <w:p w14:paraId="1179C7DD" w14:textId="77777777" w:rsidR="005441BD" w:rsidRDefault="005441BD">
            <w:pPr>
              <w:pStyle w:val="Infotext"/>
            </w:pPr>
          </w:p>
        </w:tc>
        <w:tc>
          <w:tcPr>
            <w:tcW w:w="138" w:type="pct"/>
            <w:tcBorders>
              <w:top w:val="nil"/>
              <w:left w:val="nil"/>
              <w:right w:val="nil"/>
            </w:tcBorders>
          </w:tcPr>
          <w:p w14:paraId="1179C7DE" w14:textId="77777777" w:rsidR="005441BD" w:rsidRDefault="005441BD">
            <w:pPr>
              <w:pStyle w:val="Infotext"/>
            </w:pPr>
          </w:p>
        </w:tc>
        <w:tc>
          <w:tcPr>
            <w:tcW w:w="1932" w:type="pct"/>
            <w:tcBorders>
              <w:top w:val="nil"/>
              <w:left w:val="nil"/>
            </w:tcBorders>
          </w:tcPr>
          <w:p w14:paraId="1179C7DF" w14:textId="77777777" w:rsidR="005441BD" w:rsidRDefault="005441BD">
            <w:pPr>
              <w:pStyle w:val="Infotext"/>
            </w:pPr>
          </w:p>
          <w:p w14:paraId="1179C7E0" w14:textId="77777777" w:rsidR="005441BD" w:rsidRDefault="005441BD">
            <w:pPr>
              <w:pStyle w:val="Infotext"/>
            </w:pPr>
          </w:p>
        </w:tc>
      </w:tr>
    </w:tbl>
    <w:p w14:paraId="1179C7E2" w14:textId="77777777" w:rsidR="005441BD" w:rsidRDefault="005441BD" w:rsidP="00FC6000">
      <w:pPr>
        <w:ind w:left="187" w:hanging="187"/>
        <w:jc w:val="both"/>
        <w:rPr>
          <w:rFonts w:cs="Arial"/>
        </w:rPr>
      </w:pPr>
      <w:r>
        <w:rPr>
          <w:rFonts w:cs="Arial"/>
        </w:rPr>
        <w:t>*</w:t>
      </w:r>
      <w:r w:rsidR="00953767">
        <w:rPr>
          <w:rFonts w:cs="Arial"/>
        </w:rPr>
        <w:t xml:space="preserve"> </w:t>
      </w:r>
      <w:r>
        <w:rPr>
          <w:rFonts w:cs="Arial"/>
        </w:rPr>
        <w:t xml:space="preserve">Delete the words “on behalf of the” if the report is cleared directly by </w:t>
      </w:r>
      <w:r w:rsidR="00FC6000" w:rsidRPr="00BB5506">
        <w:rPr>
          <w:rFonts w:cs="Arial"/>
        </w:rPr>
        <w:t>the Chief Financial Officer / Monitoring Officer.</w:t>
      </w:r>
    </w:p>
    <w:p w14:paraId="1179C7E3" w14:textId="77777777" w:rsidR="005441BD" w:rsidRDefault="005441BD"/>
    <w:p w14:paraId="1179C7E4" w14:textId="77777777" w:rsidR="002D7BE3" w:rsidRDefault="002D7B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366"/>
        <w:gridCol w:w="234"/>
        <w:gridCol w:w="3577"/>
      </w:tblGrid>
      <w:tr w:rsidR="002D7BE3" w14:paraId="1179C7EB" w14:textId="77777777" w:rsidTr="00DF4690">
        <w:tc>
          <w:tcPr>
            <w:tcW w:w="4752" w:type="dxa"/>
            <w:tcBorders>
              <w:bottom w:val="nil"/>
              <w:right w:val="nil"/>
            </w:tcBorders>
          </w:tcPr>
          <w:p w14:paraId="1179C7E5" w14:textId="77777777" w:rsidR="002D7BE3" w:rsidRDefault="002D7BE3" w:rsidP="00DF4690">
            <w:pPr>
              <w:pStyle w:val="Infotext"/>
            </w:pPr>
          </w:p>
          <w:p w14:paraId="1179C7E6" w14:textId="77777777" w:rsidR="002D7BE3" w:rsidRDefault="002D7BE3" w:rsidP="00DF4690">
            <w:pPr>
              <w:pStyle w:val="Infotext"/>
            </w:pPr>
          </w:p>
        </w:tc>
        <w:tc>
          <w:tcPr>
            <w:tcW w:w="387" w:type="dxa"/>
            <w:tcBorders>
              <w:left w:val="nil"/>
              <w:right w:val="nil"/>
            </w:tcBorders>
          </w:tcPr>
          <w:p w14:paraId="1179C7E7" w14:textId="77777777" w:rsidR="002D7BE3" w:rsidRDefault="002D7BE3" w:rsidP="00DF4690">
            <w:pPr>
              <w:pStyle w:val="Infotext"/>
            </w:pPr>
          </w:p>
        </w:tc>
        <w:tc>
          <w:tcPr>
            <w:tcW w:w="236" w:type="dxa"/>
            <w:tcBorders>
              <w:left w:val="nil"/>
              <w:bottom w:val="nil"/>
              <w:right w:val="nil"/>
            </w:tcBorders>
          </w:tcPr>
          <w:p w14:paraId="1179C7E8" w14:textId="77777777" w:rsidR="002D7BE3" w:rsidRDefault="002D7BE3" w:rsidP="00DF4690">
            <w:pPr>
              <w:pStyle w:val="Infotext"/>
            </w:pPr>
          </w:p>
        </w:tc>
        <w:tc>
          <w:tcPr>
            <w:tcW w:w="3890" w:type="dxa"/>
            <w:tcBorders>
              <w:left w:val="nil"/>
              <w:bottom w:val="nil"/>
            </w:tcBorders>
          </w:tcPr>
          <w:p w14:paraId="1179C7E9" w14:textId="77777777" w:rsidR="002D7BE3" w:rsidRDefault="002D7BE3" w:rsidP="00DF4690">
            <w:pPr>
              <w:pStyle w:val="Infotext"/>
            </w:pPr>
          </w:p>
          <w:p w14:paraId="1179C7EA" w14:textId="77777777" w:rsidR="002D7BE3" w:rsidRDefault="002D7BE3" w:rsidP="00DF4690">
            <w:pPr>
              <w:pStyle w:val="Infotext"/>
            </w:pPr>
          </w:p>
        </w:tc>
      </w:tr>
      <w:tr w:rsidR="002D7BE3" w14:paraId="1179C7F0" w14:textId="77777777" w:rsidTr="00DF4690">
        <w:tc>
          <w:tcPr>
            <w:tcW w:w="4752" w:type="dxa"/>
            <w:tcBorders>
              <w:top w:val="nil"/>
              <w:bottom w:val="nil"/>
            </w:tcBorders>
          </w:tcPr>
          <w:p w14:paraId="1179C7EC" w14:textId="3AAF548D" w:rsidR="002D7BE3" w:rsidRDefault="002D7BE3" w:rsidP="00B767CF">
            <w:pPr>
              <w:pStyle w:val="Infotext"/>
            </w:pPr>
            <w:r>
              <w:t>Name:</w:t>
            </w:r>
            <w:r w:rsidR="00B767CF">
              <w:t xml:space="preserve">  </w:t>
            </w:r>
            <w:r w:rsidR="007757DF">
              <w:t>Paul Hewitt</w:t>
            </w:r>
          </w:p>
        </w:tc>
        <w:tc>
          <w:tcPr>
            <w:tcW w:w="387" w:type="dxa"/>
            <w:tcBorders>
              <w:bottom w:val="single" w:sz="4" w:space="0" w:color="auto"/>
            </w:tcBorders>
          </w:tcPr>
          <w:p w14:paraId="1179C7ED" w14:textId="77777777" w:rsidR="002D7BE3" w:rsidRDefault="002D7BE3" w:rsidP="00DF4690">
            <w:pPr>
              <w:pStyle w:val="Infotext"/>
            </w:pPr>
          </w:p>
        </w:tc>
        <w:tc>
          <w:tcPr>
            <w:tcW w:w="236" w:type="dxa"/>
            <w:tcBorders>
              <w:top w:val="nil"/>
              <w:bottom w:val="nil"/>
              <w:right w:val="nil"/>
            </w:tcBorders>
          </w:tcPr>
          <w:p w14:paraId="1179C7EE" w14:textId="77777777" w:rsidR="002D7BE3" w:rsidRDefault="002D7BE3" w:rsidP="00DF4690">
            <w:pPr>
              <w:pStyle w:val="Infotext"/>
            </w:pPr>
          </w:p>
        </w:tc>
        <w:tc>
          <w:tcPr>
            <w:tcW w:w="3890" w:type="dxa"/>
            <w:tcBorders>
              <w:top w:val="nil"/>
              <w:left w:val="nil"/>
              <w:bottom w:val="nil"/>
            </w:tcBorders>
          </w:tcPr>
          <w:p w14:paraId="1179C7EF" w14:textId="77777777" w:rsidR="002D7BE3" w:rsidRDefault="002D7BE3" w:rsidP="00DF4690">
            <w:pPr>
              <w:pStyle w:val="Infotext"/>
            </w:pPr>
            <w:r>
              <w:t>Corporate Director</w:t>
            </w:r>
          </w:p>
        </w:tc>
      </w:tr>
      <w:tr w:rsidR="002D7BE3" w14:paraId="1179C7F6" w14:textId="77777777" w:rsidTr="00DF4690">
        <w:tc>
          <w:tcPr>
            <w:tcW w:w="4752" w:type="dxa"/>
            <w:tcBorders>
              <w:top w:val="nil"/>
              <w:right w:val="nil"/>
            </w:tcBorders>
          </w:tcPr>
          <w:p w14:paraId="1179C7F1" w14:textId="77777777" w:rsidR="002D7BE3" w:rsidRDefault="002D7BE3" w:rsidP="00DF4690">
            <w:pPr>
              <w:pStyle w:val="Infotext"/>
            </w:pPr>
            <w:r>
              <w:t xml:space="preserve"> </w:t>
            </w:r>
          </w:p>
          <w:p w14:paraId="1179C7F2" w14:textId="2841ED51" w:rsidR="002D7BE3" w:rsidRDefault="002D7BE3" w:rsidP="00B767CF">
            <w:pPr>
              <w:pStyle w:val="Infotext"/>
            </w:pPr>
            <w:r>
              <w:t xml:space="preserve">Date: </w:t>
            </w:r>
            <w:r w:rsidR="00B767CF">
              <w:t xml:space="preserve"> </w:t>
            </w:r>
            <w:r w:rsidR="007757DF">
              <w:t>25/09/2020</w:t>
            </w:r>
          </w:p>
        </w:tc>
        <w:tc>
          <w:tcPr>
            <w:tcW w:w="387" w:type="dxa"/>
            <w:tcBorders>
              <w:left w:val="nil"/>
              <w:bottom w:val="single" w:sz="4" w:space="0" w:color="auto"/>
              <w:right w:val="nil"/>
            </w:tcBorders>
          </w:tcPr>
          <w:p w14:paraId="1179C7F3" w14:textId="77777777" w:rsidR="002D7BE3" w:rsidRDefault="002D7BE3" w:rsidP="00DF4690">
            <w:pPr>
              <w:pStyle w:val="Infotext"/>
            </w:pPr>
          </w:p>
        </w:tc>
        <w:tc>
          <w:tcPr>
            <w:tcW w:w="236" w:type="dxa"/>
            <w:tcBorders>
              <w:top w:val="nil"/>
              <w:left w:val="nil"/>
              <w:right w:val="nil"/>
            </w:tcBorders>
          </w:tcPr>
          <w:p w14:paraId="1179C7F4" w14:textId="77777777" w:rsidR="002D7BE3" w:rsidRDefault="002D7BE3" w:rsidP="00DF4690">
            <w:pPr>
              <w:pStyle w:val="Infotext"/>
            </w:pPr>
          </w:p>
        </w:tc>
        <w:tc>
          <w:tcPr>
            <w:tcW w:w="3890" w:type="dxa"/>
            <w:tcBorders>
              <w:top w:val="nil"/>
              <w:left w:val="nil"/>
            </w:tcBorders>
          </w:tcPr>
          <w:p w14:paraId="1179C7F5" w14:textId="77777777" w:rsidR="002D7BE3" w:rsidRDefault="002D7BE3" w:rsidP="00DF4690">
            <w:pPr>
              <w:pStyle w:val="Infotext"/>
            </w:pPr>
          </w:p>
        </w:tc>
      </w:tr>
    </w:tbl>
    <w:p w14:paraId="1179C7F7" w14:textId="77777777" w:rsidR="003721C8" w:rsidRDefault="003721C8"/>
    <w:p w14:paraId="1179C7F8" w14:textId="77777777" w:rsidR="002D7BE3" w:rsidRDefault="002D7BE3"/>
    <w:p w14:paraId="1179C7F9" w14:textId="77777777" w:rsidR="005441BD" w:rsidRDefault="005441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1262D" w14:paraId="1179C800" w14:textId="77777777">
        <w:trPr>
          <w:trHeight w:val="965"/>
        </w:trPr>
        <w:tc>
          <w:tcPr>
            <w:tcW w:w="3025" w:type="pct"/>
            <w:tcBorders>
              <w:right w:val="nil"/>
            </w:tcBorders>
          </w:tcPr>
          <w:p w14:paraId="1179C7FA" w14:textId="77777777" w:rsidR="0081262D" w:rsidRPr="002D7BE3" w:rsidRDefault="002D7BE3" w:rsidP="00AD687C">
            <w:pPr>
              <w:pStyle w:val="Infotext"/>
              <w:rPr>
                <w:rFonts w:ascii="Arial Black" w:hAnsi="Arial Black"/>
                <w:color w:val="FF0000"/>
              </w:rPr>
            </w:pPr>
            <w:r w:rsidRPr="002D7BE3">
              <w:rPr>
                <w:rFonts w:ascii="Arial Black" w:hAnsi="Arial Black"/>
                <w:color w:val="FF0000"/>
              </w:rPr>
              <w:t>MANDATORY</w:t>
            </w:r>
          </w:p>
          <w:p w14:paraId="1179C7FB" w14:textId="77777777" w:rsidR="0081262D" w:rsidRDefault="0081262D" w:rsidP="00AD687C">
            <w:pPr>
              <w:pStyle w:val="Infotext"/>
              <w:rPr>
                <w:rFonts w:ascii="Arial Black" w:hAnsi="Arial Black"/>
              </w:rPr>
            </w:pPr>
            <w:r>
              <w:rPr>
                <w:rFonts w:ascii="Arial Black" w:hAnsi="Arial Black"/>
              </w:rPr>
              <w:t>Ward Councillors notified:</w:t>
            </w:r>
          </w:p>
          <w:p w14:paraId="1179C7FC" w14:textId="77777777" w:rsidR="0081262D" w:rsidRDefault="0081262D" w:rsidP="00AD687C">
            <w:pPr>
              <w:pStyle w:val="Infotext"/>
            </w:pPr>
          </w:p>
        </w:tc>
        <w:tc>
          <w:tcPr>
            <w:tcW w:w="1975" w:type="pct"/>
            <w:tcBorders>
              <w:left w:val="nil"/>
            </w:tcBorders>
          </w:tcPr>
          <w:p w14:paraId="1179C7FD" w14:textId="77777777" w:rsidR="0081262D" w:rsidRDefault="0081262D" w:rsidP="00AD687C">
            <w:pPr>
              <w:pStyle w:val="Infotext"/>
            </w:pPr>
          </w:p>
          <w:p w14:paraId="1179C7FE" w14:textId="77777777" w:rsidR="00EC6B23" w:rsidRPr="004A4141" w:rsidRDefault="00EC6B23" w:rsidP="00EC6B23">
            <w:pPr>
              <w:pStyle w:val="Infotext"/>
              <w:spacing w:before="120"/>
              <w:rPr>
                <w:b/>
              </w:rPr>
            </w:pPr>
            <w:r w:rsidRPr="004A4141">
              <w:rPr>
                <w:b/>
              </w:rPr>
              <w:t xml:space="preserve">NO, this is an information report only </w:t>
            </w:r>
            <w:r w:rsidRPr="004A4141">
              <w:rPr>
                <w:i/>
                <w:sz w:val="24"/>
                <w:szCs w:val="24"/>
              </w:rPr>
              <w:t xml:space="preserve"> </w:t>
            </w:r>
          </w:p>
          <w:p w14:paraId="1179C7FF" w14:textId="77777777" w:rsidR="0081262D" w:rsidRPr="003D78F6" w:rsidRDefault="0081262D" w:rsidP="00AD687C">
            <w:pPr>
              <w:pStyle w:val="Infotext"/>
              <w:ind w:left="173"/>
              <w:rPr>
                <w:i/>
                <w:sz w:val="24"/>
                <w:szCs w:val="24"/>
              </w:rPr>
            </w:pPr>
          </w:p>
        </w:tc>
      </w:tr>
      <w:tr w:rsidR="00026E61" w:rsidRPr="00303FD6" w14:paraId="1179C80A" w14:textId="77777777">
        <w:trPr>
          <w:trHeight w:val="965"/>
        </w:trPr>
        <w:tc>
          <w:tcPr>
            <w:tcW w:w="3025" w:type="pct"/>
            <w:tcBorders>
              <w:top w:val="single" w:sz="4" w:space="0" w:color="auto"/>
              <w:left w:val="single" w:sz="4" w:space="0" w:color="auto"/>
              <w:bottom w:val="single" w:sz="4" w:space="0" w:color="auto"/>
              <w:right w:val="nil"/>
            </w:tcBorders>
          </w:tcPr>
          <w:p w14:paraId="1179C801" w14:textId="77777777" w:rsidR="00026E61" w:rsidRPr="00BB5506" w:rsidRDefault="00026E61" w:rsidP="00E71FD8">
            <w:pPr>
              <w:pStyle w:val="Infotext"/>
              <w:rPr>
                <w:rFonts w:ascii="Arial Black" w:hAnsi="Arial Black"/>
              </w:rPr>
            </w:pPr>
          </w:p>
          <w:p w14:paraId="1179C802" w14:textId="77777777" w:rsidR="00026E61" w:rsidRPr="00202D79"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1179C803" w14:textId="77777777" w:rsidR="00026E61" w:rsidRPr="00202D79" w:rsidRDefault="00026E61" w:rsidP="00E71FD8">
            <w:pPr>
              <w:pStyle w:val="Infotext"/>
              <w:rPr>
                <w:rFonts w:ascii="Arial Black" w:hAnsi="Arial Black"/>
              </w:rPr>
            </w:pPr>
          </w:p>
          <w:p w14:paraId="1179C804" w14:textId="77777777" w:rsidR="00026E61" w:rsidRPr="00BB5506"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14:paraId="1179C805" w14:textId="77777777" w:rsidR="00026E61" w:rsidRPr="00BB5506" w:rsidRDefault="00026E61" w:rsidP="00E71FD8">
            <w:pPr>
              <w:pStyle w:val="Infotext"/>
            </w:pPr>
          </w:p>
          <w:p w14:paraId="1179C806" w14:textId="77777777" w:rsidR="00026E61" w:rsidRPr="00FC6000" w:rsidRDefault="00EC6B23" w:rsidP="00E71FD8">
            <w:pPr>
              <w:pStyle w:val="Infotext"/>
              <w:rPr>
                <w:i/>
              </w:rPr>
            </w:pPr>
            <w:r>
              <w:rPr>
                <w:b/>
              </w:rPr>
              <w:t>NO</w:t>
            </w:r>
          </w:p>
          <w:p w14:paraId="1179C807" w14:textId="77777777" w:rsidR="00026E61" w:rsidRPr="00BB5506" w:rsidRDefault="00026E61" w:rsidP="00E71FD8">
            <w:pPr>
              <w:pStyle w:val="Infotext"/>
            </w:pPr>
          </w:p>
          <w:p w14:paraId="1179C808" w14:textId="77777777" w:rsidR="00EC6B23" w:rsidRPr="004A4141" w:rsidRDefault="00EC6B23" w:rsidP="00EC6B23">
            <w:pPr>
              <w:pStyle w:val="Infotext"/>
            </w:pPr>
            <w:r w:rsidRPr="004A4141">
              <w:t>N/A information report only</w:t>
            </w:r>
          </w:p>
          <w:p w14:paraId="1179C809" w14:textId="77777777" w:rsidR="00026E61" w:rsidRPr="00BB5506" w:rsidRDefault="00026E61" w:rsidP="00E71FD8">
            <w:pPr>
              <w:pStyle w:val="Infotext"/>
            </w:pPr>
          </w:p>
        </w:tc>
      </w:tr>
    </w:tbl>
    <w:p w14:paraId="1179C80B" w14:textId="77777777" w:rsidR="0081262D" w:rsidRDefault="0081262D"/>
    <w:p w14:paraId="1179C80C" w14:textId="77777777" w:rsidR="005441BD" w:rsidRDefault="005441BD" w:rsidP="000C31CE">
      <w:pPr>
        <w:pStyle w:val="Heading1"/>
        <w:keepNext/>
      </w:pPr>
      <w:r>
        <w:lastRenderedPageBreak/>
        <w:t xml:space="preserve">Section </w:t>
      </w:r>
      <w:r w:rsidR="00B8374D">
        <w:t>4</w:t>
      </w:r>
      <w:r>
        <w:t xml:space="preserve"> - Contact Details and Background Papers</w:t>
      </w:r>
    </w:p>
    <w:p w14:paraId="1179C80D" w14:textId="77777777" w:rsidR="005441BD" w:rsidRDefault="005441BD" w:rsidP="000C31CE">
      <w:pPr>
        <w:keepNext/>
        <w:rPr>
          <w:rFonts w:cs="Arial"/>
        </w:rPr>
      </w:pPr>
    </w:p>
    <w:p w14:paraId="1179C80E" w14:textId="77777777" w:rsidR="005441BD" w:rsidRDefault="005441BD" w:rsidP="000C31CE">
      <w:pPr>
        <w:keepNext/>
      </w:pPr>
    </w:p>
    <w:p w14:paraId="1179C80F" w14:textId="77777777" w:rsidR="00EC6B23" w:rsidRDefault="005441BD">
      <w:pPr>
        <w:pStyle w:val="Infotext"/>
      </w:pPr>
      <w:r w:rsidRPr="00EE7076">
        <w:rPr>
          <w:b/>
        </w:rPr>
        <w:t>Contact:</w:t>
      </w:r>
      <w:r>
        <w:t xml:space="preserve">  </w:t>
      </w:r>
    </w:p>
    <w:p w14:paraId="1179C810" w14:textId="77777777" w:rsidR="00EC6B23" w:rsidRDefault="00EC6B23">
      <w:pPr>
        <w:pStyle w:val="Info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3"/>
      </w:tblGrid>
      <w:tr w:rsidR="00EC6B23" w:rsidRPr="004A4141" w14:paraId="1179C819" w14:textId="77777777" w:rsidTr="008D6DF0">
        <w:tc>
          <w:tcPr>
            <w:tcW w:w="4262" w:type="dxa"/>
            <w:shd w:val="clear" w:color="auto" w:fill="auto"/>
          </w:tcPr>
          <w:p w14:paraId="1179C811" w14:textId="77777777" w:rsidR="00EC6B23" w:rsidRPr="004A4141" w:rsidRDefault="00EC6B23" w:rsidP="008D6DF0">
            <w:pPr>
              <w:pStyle w:val="Infotext"/>
              <w:rPr>
                <w:rFonts w:cs="Arial"/>
                <w:sz w:val="24"/>
              </w:rPr>
            </w:pPr>
            <w:r w:rsidRPr="004A4141">
              <w:rPr>
                <w:rFonts w:cs="Arial"/>
                <w:sz w:val="24"/>
              </w:rPr>
              <w:t>Dipika Patel,</w:t>
            </w:r>
          </w:p>
          <w:p w14:paraId="1179C812" w14:textId="77777777" w:rsidR="00EC6B23" w:rsidRPr="004A4141" w:rsidRDefault="00EC6B23" w:rsidP="008D6DF0">
            <w:pPr>
              <w:pStyle w:val="Infotext"/>
              <w:rPr>
                <w:rFonts w:cs="Arial"/>
                <w:sz w:val="24"/>
              </w:rPr>
            </w:pPr>
            <w:r w:rsidRPr="004A4141">
              <w:rPr>
                <w:rFonts w:cs="Arial"/>
                <w:sz w:val="24"/>
              </w:rPr>
              <w:t>Partner- Business Intelligence Unit</w:t>
            </w:r>
          </w:p>
          <w:p w14:paraId="1179C813" w14:textId="77777777" w:rsidR="00EC6B23" w:rsidRPr="004A4141" w:rsidRDefault="00EC6B23" w:rsidP="008D6DF0">
            <w:pPr>
              <w:pStyle w:val="Infotext"/>
              <w:rPr>
                <w:rFonts w:cs="Arial"/>
                <w:sz w:val="24"/>
              </w:rPr>
            </w:pPr>
            <w:r w:rsidRPr="004A4141">
              <w:rPr>
                <w:rFonts w:cs="Arial"/>
                <w:sz w:val="24"/>
              </w:rPr>
              <w:t>020 8420 9258</w:t>
            </w:r>
            <w:r w:rsidRPr="004A4141">
              <w:rPr>
                <w:rFonts w:cs="Arial"/>
                <w:sz w:val="24"/>
              </w:rPr>
              <w:tab/>
            </w:r>
          </w:p>
          <w:p w14:paraId="1179C814" w14:textId="77777777" w:rsidR="00EC6B23" w:rsidRPr="004A4141" w:rsidRDefault="00EC5027" w:rsidP="008D6DF0">
            <w:pPr>
              <w:pStyle w:val="Infotext"/>
              <w:rPr>
                <w:rFonts w:cs="Arial"/>
                <w:sz w:val="24"/>
              </w:rPr>
            </w:pPr>
            <w:hyperlink r:id="rId15" w:history="1">
              <w:r w:rsidR="00EC6B23" w:rsidRPr="002A6CEC">
                <w:rPr>
                  <w:rStyle w:val="Hyperlink"/>
                  <w:sz w:val="24"/>
                </w:rPr>
                <w:t>dipika.patel@harrow.gov.uk</w:t>
              </w:r>
            </w:hyperlink>
          </w:p>
        </w:tc>
        <w:tc>
          <w:tcPr>
            <w:tcW w:w="4263" w:type="dxa"/>
            <w:shd w:val="clear" w:color="auto" w:fill="auto"/>
          </w:tcPr>
          <w:p w14:paraId="1179C815" w14:textId="77777777" w:rsidR="00EC6B23" w:rsidRPr="004A4141" w:rsidRDefault="00EC6B23" w:rsidP="008D6DF0">
            <w:pPr>
              <w:pStyle w:val="Infotext"/>
              <w:rPr>
                <w:rFonts w:cs="Arial"/>
                <w:sz w:val="24"/>
              </w:rPr>
            </w:pPr>
            <w:r w:rsidRPr="004A4141">
              <w:rPr>
                <w:rFonts w:cs="Arial"/>
                <w:sz w:val="24"/>
              </w:rPr>
              <w:t xml:space="preserve">David Harrington  </w:t>
            </w:r>
          </w:p>
          <w:p w14:paraId="1179C816" w14:textId="77777777" w:rsidR="00EC6B23" w:rsidRPr="004A4141" w:rsidRDefault="00EC6B23" w:rsidP="008D6DF0">
            <w:pPr>
              <w:pStyle w:val="Infotext"/>
              <w:rPr>
                <w:rFonts w:cs="Arial"/>
                <w:sz w:val="24"/>
                <w:szCs w:val="24"/>
              </w:rPr>
            </w:pPr>
            <w:r w:rsidRPr="004A4141">
              <w:rPr>
                <w:sz w:val="24"/>
                <w:szCs w:val="24"/>
                <w:lang w:eastAsia="en-GB"/>
              </w:rPr>
              <w:t>Head of Business Intelligence</w:t>
            </w:r>
            <w:r w:rsidRPr="004A4141">
              <w:rPr>
                <w:rFonts w:cs="Arial"/>
                <w:sz w:val="24"/>
                <w:szCs w:val="24"/>
              </w:rPr>
              <w:t xml:space="preserve"> </w:t>
            </w:r>
          </w:p>
          <w:p w14:paraId="1179C817" w14:textId="77777777" w:rsidR="00EC6B23" w:rsidRPr="004A4141" w:rsidRDefault="00EC6B23" w:rsidP="008D6DF0">
            <w:pPr>
              <w:pStyle w:val="Infotext"/>
              <w:rPr>
                <w:rFonts w:cs="Arial"/>
                <w:sz w:val="24"/>
                <w:szCs w:val="24"/>
              </w:rPr>
            </w:pPr>
            <w:r w:rsidRPr="004A4141">
              <w:rPr>
                <w:rFonts w:cs="Arial"/>
                <w:sz w:val="24"/>
                <w:szCs w:val="24"/>
              </w:rPr>
              <w:t>0208 420 9248</w:t>
            </w:r>
          </w:p>
          <w:p w14:paraId="1179C818" w14:textId="77777777" w:rsidR="00EC6B23" w:rsidRPr="004A4141" w:rsidRDefault="00EC5027" w:rsidP="008D6DF0">
            <w:pPr>
              <w:pStyle w:val="Infotext"/>
              <w:rPr>
                <w:rFonts w:cs="Arial"/>
                <w:sz w:val="24"/>
                <w:szCs w:val="24"/>
              </w:rPr>
            </w:pPr>
            <w:hyperlink r:id="rId16" w:history="1">
              <w:r w:rsidR="00EC6B23" w:rsidRPr="004A4141">
                <w:rPr>
                  <w:rStyle w:val="Hyperlink"/>
                  <w:rFonts w:cs="Arial"/>
                  <w:sz w:val="24"/>
                  <w:szCs w:val="24"/>
                </w:rPr>
                <w:t>David.harrington@harrow.gov.uk</w:t>
              </w:r>
            </w:hyperlink>
          </w:p>
        </w:tc>
      </w:tr>
    </w:tbl>
    <w:p w14:paraId="1179C81A" w14:textId="77777777" w:rsidR="005441BD" w:rsidRDefault="005441BD">
      <w:pPr>
        <w:pStyle w:val="Infotext"/>
      </w:pPr>
    </w:p>
    <w:p w14:paraId="1179C81B" w14:textId="77777777" w:rsidR="005441BD" w:rsidRDefault="005441BD"/>
    <w:p w14:paraId="1179C81C" w14:textId="77777777" w:rsidR="005441BD" w:rsidRDefault="005441BD"/>
    <w:p w14:paraId="1179C81D" w14:textId="77777777" w:rsidR="000D5D8B" w:rsidRDefault="005441BD" w:rsidP="00EC6B23">
      <w:pPr>
        <w:pStyle w:val="Infotext"/>
        <w:rPr>
          <w:rFonts w:cs="Arial"/>
          <w:sz w:val="22"/>
          <w:szCs w:val="22"/>
        </w:rPr>
      </w:pPr>
      <w:r w:rsidRPr="00EE7076">
        <w:rPr>
          <w:b/>
        </w:rPr>
        <w:t>Background Papers:</w:t>
      </w:r>
      <w:r>
        <w:t xml:space="preserve">  </w:t>
      </w:r>
    </w:p>
    <w:p w14:paraId="1179C81E" w14:textId="77777777" w:rsidR="00EC6B23" w:rsidRDefault="00EC6B23" w:rsidP="000D5D8B">
      <w:pPr>
        <w:rPr>
          <w:rFonts w:cs="Arial"/>
          <w:sz w:val="22"/>
          <w:szCs w:val="22"/>
        </w:rPr>
      </w:pPr>
    </w:p>
    <w:p w14:paraId="1179C81F" w14:textId="63C4B76F" w:rsidR="00EC6B23" w:rsidRDefault="00EC6B23" w:rsidP="00EC6B23">
      <w:pPr>
        <w:pStyle w:val="ListParagraph"/>
        <w:keepNext/>
        <w:numPr>
          <w:ilvl w:val="0"/>
          <w:numId w:val="39"/>
        </w:numPr>
        <w:rPr>
          <w:sz w:val="24"/>
        </w:rPr>
      </w:pPr>
      <w:r w:rsidRPr="00EC6B23">
        <w:rPr>
          <w:sz w:val="24"/>
        </w:rPr>
        <w:t>Source: Local data taken from Mosaic System</w:t>
      </w:r>
    </w:p>
    <w:p w14:paraId="0CBDFFEF" w14:textId="4E6C9AA8" w:rsidR="00E6630B" w:rsidRDefault="00EC5027" w:rsidP="00EC6B23">
      <w:pPr>
        <w:pStyle w:val="ListParagraph"/>
        <w:keepNext/>
        <w:numPr>
          <w:ilvl w:val="0"/>
          <w:numId w:val="39"/>
        </w:numPr>
        <w:rPr>
          <w:sz w:val="24"/>
        </w:rPr>
      </w:pPr>
      <w:hyperlink r:id="rId17" w:history="1">
        <w:r w:rsidR="00E6630B" w:rsidRPr="00916B17">
          <w:rPr>
            <w:rStyle w:val="Hyperlink"/>
            <w:sz w:val="24"/>
          </w:rPr>
          <w:t>https://www.gov.uk/government/statistics/children-looked-after-in-england-including-adoption-2018-to-2019</w:t>
        </w:r>
      </w:hyperlink>
    </w:p>
    <w:p w14:paraId="1179C820" w14:textId="36FA040F" w:rsidR="00EC6B23" w:rsidRPr="00EC6B23" w:rsidRDefault="00EC5027" w:rsidP="00EC6B23">
      <w:pPr>
        <w:pStyle w:val="ListParagraph"/>
        <w:keepNext/>
        <w:numPr>
          <w:ilvl w:val="0"/>
          <w:numId w:val="39"/>
        </w:numPr>
        <w:rPr>
          <w:sz w:val="24"/>
        </w:rPr>
      </w:pPr>
      <w:hyperlink r:id="rId18" w:history="1">
        <w:r w:rsidR="00EC6B23" w:rsidRPr="00EC6B23">
          <w:rPr>
            <w:rStyle w:val="Hyperlink"/>
            <w:sz w:val="24"/>
          </w:rPr>
          <w:t>https://www.gov.uk/government/statistics/children-looked-after-in-england-including-adoption-2017-to-2018</w:t>
        </w:r>
      </w:hyperlink>
    </w:p>
    <w:p w14:paraId="1179C821" w14:textId="77777777" w:rsidR="00EC6B23" w:rsidRPr="00EC6B23" w:rsidRDefault="00EC6B23" w:rsidP="00EC6B23">
      <w:pPr>
        <w:pStyle w:val="ListParagraph"/>
        <w:keepNext/>
        <w:numPr>
          <w:ilvl w:val="0"/>
          <w:numId w:val="39"/>
        </w:numPr>
        <w:rPr>
          <w:sz w:val="24"/>
        </w:rPr>
      </w:pPr>
      <w:r w:rsidRPr="00EC6B23">
        <w:rPr>
          <w:sz w:val="24"/>
        </w:rPr>
        <w:t xml:space="preserve"> </w:t>
      </w:r>
      <w:hyperlink r:id="rId19" w:history="1">
        <w:r w:rsidRPr="00EC6B23">
          <w:rPr>
            <w:rStyle w:val="Hyperlink"/>
            <w:sz w:val="24"/>
          </w:rPr>
          <w:t>https://www.gov.uk/government/statistics/children-looked-after-in-england-including-adoption-2016-to-2017</w:t>
        </w:r>
      </w:hyperlink>
    </w:p>
    <w:p w14:paraId="1179C822" w14:textId="77777777" w:rsidR="00EC6B23" w:rsidRPr="00EC6B23" w:rsidRDefault="00EC5027" w:rsidP="00EC6B23">
      <w:pPr>
        <w:pStyle w:val="ListParagraph"/>
        <w:keepNext/>
        <w:numPr>
          <w:ilvl w:val="0"/>
          <w:numId w:val="39"/>
        </w:numPr>
        <w:rPr>
          <w:sz w:val="24"/>
        </w:rPr>
      </w:pPr>
      <w:hyperlink r:id="rId20" w:history="1">
        <w:r w:rsidR="00EC6B23" w:rsidRPr="00EC6B23">
          <w:rPr>
            <w:rStyle w:val="Hyperlink"/>
            <w:sz w:val="24"/>
          </w:rPr>
          <w:t>https://www.gov.uk/government/statistics/children-looked-after-in-england-including-adoption-2015-to-2016</w:t>
        </w:r>
      </w:hyperlink>
    </w:p>
    <w:p w14:paraId="1179C823" w14:textId="77777777" w:rsidR="00EC6B23" w:rsidRPr="00A727A5" w:rsidRDefault="00EC6B23" w:rsidP="000D5D8B">
      <w:pPr>
        <w:rPr>
          <w:rFonts w:cs="Arial"/>
          <w:sz w:val="22"/>
          <w:szCs w:val="22"/>
        </w:rPr>
      </w:pPr>
    </w:p>
    <w:sectPr w:rsidR="00EC6B23" w:rsidRPr="00A727A5"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9C828" w14:textId="77777777" w:rsidR="00DF4690" w:rsidRDefault="00DF4690">
      <w:r>
        <w:separator/>
      </w:r>
    </w:p>
  </w:endnote>
  <w:endnote w:type="continuationSeparator" w:id="0">
    <w:p w14:paraId="1179C829" w14:textId="77777777" w:rsidR="00DF4690" w:rsidRDefault="00DF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C82A" w14:textId="77777777" w:rsidR="002D7BE3" w:rsidRDefault="002D7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C82B" w14:textId="77777777" w:rsidR="002D7BE3" w:rsidRDefault="002D7BE3" w:rsidP="002D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9C826" w14:textId="77777777" w:rsidR="00DF4690" w:rsidRDefault="00DF4690">
      <w:r>
        <w:separator/>
      </w:r>
    </w:p>
  </w:footnote>
  <w:footnote w:type="continuationSeparator" w:id="0">
    <w:p w14:paraId="1179C827" w14:textId="77777777" w:rsidR="00DF4690" w:rsidRDefault="00DF4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454B1"/>
    <w:multiLevelType w:val="hybridMultilevel"/>
    <w:tmpl w:val="A7084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77F42E5"/>
    <w:multiLevelType w:val="hybridMultilevel"/>
    <w:tmpl w:val="395CF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52731FC"/>
    <w:multiLevelType w:val="hybridMultilevel"/>
    <w:tmpl w:val="8DB03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CE92B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6B1A1434"/>
    <w:multiLevelType w:val="hybridMultilevel"/>
    <w:tmpl w:val="701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404177"/>
    <w:multiLevelType w:val="hybridMultilevel"/>
    <w:tmpl w:val="6206E2BA"/>
    <w:lvl w:ilvl="0" w:tplc="6A3CF4B4">
      <w:start w:val="1"/>
      <w:numFmt w:val="bullet"/>
      <w:lvlText w:val=""/>
      <w:lvlJc w:val="left"/>
      <w:pPr>
        <w:tabs>
          <w:tab w:val="num" w:pos="720"/>
        </w:tabs>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146DD9"/>
    <w:multiLevelType w:val="hybridMultilevel"/>
    <w:tmpl w:val="5B4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2"/>
  </w:num>
  <w:num w:numId="4">
    <w:abstractNumId w:val="29"/>
  </w:num>
  <w:num w:numId="5">
    <w:abstractNumId w:val="9"/>
  </w:num>
  <w:num w:numId="6">
    <w:abstractNumId w:val="24"/>
  </w:num>
  <w:num w:numId="7">
    <w:abstractNumId w:val="16"/>
  </w:num>
  <w:num w:numId="8">
    <w:abstractNumId w:val="8"/>
  </w:num>
  <w:num w:numId="9">
    <w:abstractNumId w:val="7"/>
  </w:num>
  <w:num w:numId="10">
    <w:abstractNumId w:val="13"/>
  </w:num>
  <w:num w:numId="11">
    <w:abstractNumId w:val="25"/>
  </w:num>
  <w:num w:numId="12">
    <w:abstractNumId w:val="18"/>
  </w:num>
  <w:num w:numId="13">
    <w:abstractNumId w:val="15"/>
  </w:num>
  <w:num w:numId="14">
    <w:abstractNumId w:val="21"/>
  </w:num>
  <w:num w:numId="15">
    <w:abstractNumId w:val="35"/>
  </w:num>
  <w:num w:numId="16">
    <w:abstractNumId w:val="6"/>
  </w:num>
  <w:num w:numId="17">
    <w:abstractNumId w:val="42"/>
  </w:num>
  <w:num w:numId="18">
    <w:abstractNumId w:val="10"/>
  </w:num>
  <w:num w:numId="19">
    <w:abstractNumId w:val="43"/>
  </w:num>
  <w:num w:numId="20">
    <w:abstractNumId w:val="19"/>
  </w:num>
  <w:num w:numId="21">
    <w:abstractNumId w:val="23"/>
  </w:num>
  <w:num w:numId="22">
    <w:abstractNumId w:val="28"/>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9"/>
  </w:num>
  <w:num w:numId="27">
    <w:abstractNumId w:val="20"/>
  </w:num>
  <w:num w:numId="28">
    <w:abstractNumId w:val="14"/>
  </w:num>
  <w:num w:numId="29">
    <w:abstractNumId w:val="37"/>
  </w:num>
  <w:num w:numId="30">
    <w:abstractNumId w:val="1"/>
  </w:num>
  <w:num w:numId="31">
    <w:abstractNumId w:val="26"/>
  </w:num>
  <w:num w:numId="32">
    <w:abstractNumId w:val="5"/>
  </w:num>
  <w:num w:numId="33">
    <w:abstractNumId w:val="4"/>
  </w:num>
  <w:num w:numId="34">
    <w:abstractNumId w:val="34"/>
  </w:num>
  <w:num w:numId="35">
    <w:abstractNumId w:val="44"/>
  </w:num>
  <w:num w:numId="36">
    <w:abstractNumId w:val="30"/>
  </w:num>
  <w:num w:numId="37">
    <w:abstractNumId w:val="2"/>
  </w:num>
  <w:num w:numId="38">
    <w:abstractNumId w:val="11"/>
  </w:num>
  <w:num w:numId="39">
    <w:abstractNumId w:val="41"/>
  </w:num>
  <w:num w:numId="40">
    <w:abstractNumId w:val="0"/>
  </w:num>
  <w:num w:numId="41">
    <w:abstractNumId w:val="22"/>
  </w:num>
  <w:num w:numId="42">
    <w:abstractNumId w:val="40"/>
  </w:num>
  <w:num w:numId="43">
    <w:abstractNumId w:val="38"/>
  </w:num>
  <w:num w:numId="44">
    <w:abstractNumId w:val="3"/>
  </w:num>
  <w:num w:numId="45">
    <w:abstractNumId w:val="3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12D45"/>
    <w:rsid w:val="000164D1"/>
    <w:rsid w:val="000168D3"/>
    <w:rsid w:val="00016FBE"/>
    <w:rsid w:val="00026E61"/>
    <w:rsid w:val="00027801"/>
    <w:rsid w:val="00036698"/>
    <w:rsid w:val="00063133"/>
    <w:rsid w:val="00084050"/>
    <w:rsid w:val="000A3C4C"/>
    <w:rsid w:val="000A3C85"/>
    <w:rsid w:val="000C31CE"/>
    <w:rsid w:val="000D5D8B"/>
    <w:rsid w:val="000E1217"/>
    <w:rsid w:val="000E1899"/>
    <w:rsid w:val="000F665E"/>
    <w:rsid w:val="00100D96"/>
    <w:rsid w:val="001413D5"/>
    <w:rsid w:val="0014267E"/>
    <w:rsid w:val="00150687"/>
    <w:rsid w:val="001A4C6D"/>
    <w:rsid w:val="001C2940"/>
    <w:rsid w:val="001D1F6F"/>
    <w:rsid w:val="001E282E"/>
    <w:rsid w:val="001F6561"/>
    <w:rsid w:val="002034B3"/>
    <w:rsid w:val="00217244"/>
    <w:rsid w:val="002253B2"/>
    <w:rsid w:val="00242CC9"/>
    <w:rsid w:val="0025320D"/>
    <w:rsid w:val="00271266"/>
    <w:rsid w:val="00284269"/>
    <w:rsid w:val="002A6EF5"/>
    <w:rsid w:val="002D0A58"/>
    <w:rsid w:val="002D45D5"/>
    <w:rsid w:val="002D7BE3"/>
    <w:rsid w:val="002F0364"/>
    <w:rsid w:val="00313F3C"/>
    <w:rsid w:val="00323250"/>
    <w:rsid w:val="003330F5"/>
    <w:rsid w:val="00333460"/>
    <w:rsid w:val="00340EA8"/>
    <w:rsid w:val="0034748A"/>
    <w:rsid w:val="0035490B"/>
    <w:rsid w:val="00356159"/>
    <w:rsid w:val="00362079"/>
    <w:rsid w:val="003721C8"/>
    <w:rsid w:val="00377263"/>
    <w:rsid w:val="00381EA3"/>
    <w:rsid w:val="0039332A"/>
    <w:rsid w:val="003A1417"/>
    <w:rsid w:val="003A783B"/>
    <w:rsid w:val="003B1FA7"/>
    <w:rsid w:val="003C723A"/>
    <w:rsid w:val="003D31C2"/>
    <w:rsid w:val="003D78F6"/>
    <w:rsid w:val="003F4A5F"/>
    <w:rsid w:val="00402E49"/>
    <w:rsid w:val="00414184"/>
    <w:rsid w:val="00432050"/>
    <w:rsid w:val="004419C4"/>
    <w:rsid w:val="00447899"/>
    <w:rsid w:val="00455564"/>
    <w:rsid w:val="00462114"/>
    <w:rsid w:val="00486170"/>
    <w:rsid w:val="0049070E"/>
    <w:rsid w:val="004A2CFB"/>
    <w:rsid w:val="004C5899"/>
    <w:rsid w:val="004D744C"/>
    <w:rsid w:val="004E7169"/>
    <w:rsid w:val="004F4D83"/>
    <w:rsid w:val="005200DF"/>
    <w:rsid w:val="00527689"/>
    <w:rsid w:val="00542613"/>
    <w:rsid w:val="005441BD"/>
    <w:rsid w:val="0054587F"/>
    <w:rsid w:val="0056035B"/>
    <w:rsid w:val="00587227"/>
    <w:rsid w:val="005961BE"/>
    <w:rsid w:val="005B2F47"/>
    <w:rsid w:val="005B712A"/>
    <w:rsid w:val="005C1159"/>
    <w:rsid w:val="005C49A2"/>
    <w:rsid w:val="005C5F36"/>
    <w:rsid w:val="005D0050"/>
    <w:rsid w:val="005F5698"/>
    <w:rsid w:val="00602CE7"/>
    <w:rsid w:val="00612A64"/>
    <w:rsid w:val="00617477"/>
    <w:rsid w:val="00617F63"/>
    <w:rsid w:val="00621163"/>
    <w:rsid w:val="006218AC"/>
    <w:rsid w:val="0064262B"/>
    <w:rsid w:val="00650699"/>
    <w:rsid w:val="00652FBC"/>
    <w:rsid w:val="00656C6A"/>
    <w:rsid w:val="00665A12"/>
    <w:rsid w:val="006668DA"/>
    <w:rsid w:val="00674F13"/>
    <w:rsid w:val="006843EC"/>
    <w:rsid w:val="00697A35"/>
    <w:rsid w:val="006B587A"/>
    <w:rsid w:val="006B5F35"/>
    <w:rsid w:val="006C44D8"/>
    <w:rsid w:val="006C484D"/>
    <w:rsid w:val="006E4962"/>
    <w:rsid w:val="006E692F"/>
    <w:rsid w:val="00700D3A"/>
    <w:rsid w:val="0070496A"/>
    <w:rsid w:val="0071039E"/>
    <w:rsid w:val="00713DA0"/>
    <w:rsid w:val="00720786"/>
    <w:rsid w:val="00722A31"/>
    <w:rsid w:val="00730223"/>
    <w:rsid w:val="007367CF"/>
    <w:rsid w:val="00744A1A"/>
    <w:rsid w:val="007757DF"/>
    <w:rsid w:val="00776C06"/>
    <w:rsid w:val="007A012E"/>
    <w:rsid w:val="007B1514"/>
    <w:rsid w:val="007D1C96"/>
    <w:rsid w:val="007D7E0B"/>
    <w:rsid w:val="007F2E35"/>
    <w:rsid w:val="0080134B"/>
    <w:rsid w:val="0081262D"/>
    <w:rsid w:val="00833C6F"/>
    <w:rsid w:val="00841A0F"/>
    <w:rsid w:val="008779ED"/>
    <w:rsid w:val="00894FDB"/>
    <w:rsid w:val="008A408B"/>
    <w:rsid w:val="008A63AD"/>
    <w:rsid w:val="008B2AE6"/>
    <w:rsid w:val="008B3527"/>
    <w:rsid w:val="008C48E8"/>
    <w:rsid w:val="008D0B76"/>
    <w:rsid w:val="008F1A15"/>
    <w:rsid w:val="008F3D34"/>
    <w:rsid w:val="00911A26"/>
    <w:rsid w:val="00915FD6"/>
    <w:rsid w:val="009238B6"/>
    <w:rsid w:val="0094248C"/>
    <w:rsid w:val="00953767"/>
    <w:rsid w:val="00953A14"/>
    <w:rsid w:val="009761ED"/>
    <w:rsid w:val="0099076B"/>
    <w:rsid w:val="009C069E"/>
    <w:rsid w:val="009D4187"/>
    <w:rsid w:val="009E581D"/>
    <w:rsid w:val="009F14C8"/>
    <w:rsid w:val="009F71DA"/>
    <w:rsid w:val="00A137E7"/>
    <w:rsid w:val="00A2102D"/>
    <w:rsid w:val="00A2454D"/>
    <w:rsid w:val="00A24E62"/>
    <w:rsid w:val="00A274AC"/>
    <w:rsid w:val="00A406F3"/>
    <w:rsid w:val="00A42A33"/>
    <w:rsid w:val="00A501C7"/>
    <w:rsid w:val="00A5093C"/>
    <w:rsid w:val="00A5613C"/>
    <w:rsid w:val="00A66832"/>
    <w:rsid w:val="00A80F10"/>
    <w:rsid w:val="00AA3136"/>
    <w:rsid w:val="00AA7C24"/>
    <w:rsid w:val="00AB28BD"/>
    <w:rsid w:val="00AB2A8D"/>
    <w:rsid w:val="00AB2F97"/>
    <w:rsid w:val="00AD666A"/>
    <w:rsid w:val="00AD687C"/>
    <w:rsid w:val="00AE38EB"/>
    <w:rsid w:val="00AE452B"/>
    <w:rsid w:val="00AF0216"/>
    <w:rsid w:val="00AF4C06"/>
    <w:rsid w:val="00B21131"/>
    <w:rsid w:val="00B26D5D"/>
    <w:rsid w:val="00B42105"/>
    <w:rsid w:val="00B44E2F"/>
    <w:rsid w:val="00B52F9B"/>
    <w:rsid w:val="00B5672C"/>
    <w:rsid w:val="00B61712"/>
    <w:rsid w:val="00B66D7C"/>
    <w:rsid w:val="00B767CF"/>
    <w:rsid w:val="00B82309"/>
    <w:rsid w:val="00B8374D"/>
    <w:rsid w:val="00BB1D6B"/>
    <w:rsid w:val="00BB7DD3"/>
    <w:rsid w:val="00BC24FF"/>
    <w:rsid w:val="00BD7E3F"/>
    <w:rsid w:val="00C03343"/>
    <w:rsid w:val="00C22FF4"/>
    <w:rsid w:val="00C257D1"/>
    <w:rsid w:val="00C316E9"/>
    <w:rsid w:val="00C37118"/>
    <w:rsid w:val="00C4117C"/>
    <w:rsid w:val="00C45AC4"/>
    <w:rsid w:val="00C5086B"/>
    <w:rsid w:val="00C55590"/>
    <w:rsid w:val="00C63334"/>
    <w:rsid w:val="00C63F0B"/>
    <w:rsid w:val="00C674CF"/>
    <w:rsid w:val="00C7005C"/>
    <w:rsid w:val="00C71597"/>
    <w:rsid w:val="00C928FC"/>
    <w:rsid w:val="00CA72A9"/>
    <w:rsid w:val="00CC306F"/>
    <w:rsid w:val="00CD16E4"/>
    <w:rsid w:val="00CD3CC4"/>
    <w:rsid w:val="00CE76B5"/>
    <w:rsid w:val="00CF14EA"/>
    <w:rsid w:val="00CF1F44"/>
    <w:rsid w:val="00D107B2"/>
    <w:rsid w:val="00D17632"/>
    <w:rsid w:val="00D22546"/>
    <w:rsid w:val="00D27689"/>
    <w:rsid w:val="00D33AE8"/>
    <w:rsid w:val="00D417DF"/>
    <w:rsid w:val="00D54435"/>
    <w:rsid w:val="00D612D2"/>
    <w:rsid w:val="00D67B11"/>
    <w:rsid w:val="00D763C0"/>
    <w:rsid w:val="00D77C85"/>
    <w:rsid w:val="00D8409F"/>
    <w:rsid w:val="00D85E65"/>
    <w:rsid w:val="00D87F2B"/>
    <w:rsid w:val="00D90CC0"/>
    <w:rsid w:val="00D97941"/>
    <w:rsid w:val="00DB16C4"/>
    <w:rsid w:val="00DB1857"/>
    <w:rsid w:val="00DE6253"/>
    <w:rsid w:val="00DE6CC7"/>
    <w:rsid w:val="00DF4690"/>
    <w:rsid w:val="00E07B9C"/>
    <w:rsid w:val="00E16205"/>
    <w:rsid w:val="00E20E12"/>
    <w:rsid w:val="00E3214C"/>
    <w:rsid w:val="00E37C3B"/>
    <w:rsid w:val="00E41F17"/>
    <w:rsid w:val="00E446E9"/>
    <w:rsid w:val="00E6630B"/>
    <w:rsid w:val="00E66A62"/>
    <w:rsid w:val="00E71FD8"/>
    <w:rsid w:val="00E91983"/>
    <w:rsid w:val="00E964FF"/>
    <w:rsid w:val="00EA5CE4"/>
    <w:rsid w:val="00EC5027"/>
    <w:rsid w:val="00EC5482"/>
    <w:rsid w:val="00EC6B23"/>
    <w:rsid w:val="00EE1055"/>
    <w:rsid w:val="00EE7076"/>
    <w:rsid w:val="00EF3F24"/>
    <w:rsid w:val="00F21EAF"/>
    <w:rsid w:val="00F57B0C"/>
    <w:rsid w:val="00F62788"/>
    <w:rsid w:val="00F6694D"/>
    <w:rsid w:val="00F73BD1"/>
    <w:rsid w:val="00F76A77"/>
    <w:rsid w:val="00F9251B"/>
    <w:rsid w:val="00FB2E77"/>
    <w:rsid w:val="00FC114F"/>
    <w:rsid w:val="00FC2AC3"/>
    <w:rsid w:val="00FC6000"/>
    <w:rsid w:val="00FE33DE"/>
    <w:rsid w:val="00FE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179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paragraph" w:styleId="BodyText2">
    <w:name w:val="Body Text 2"/>
    <w:basedOn w:val="Normal"/>
    <w:link w:val="BodyText2Char"/>
    <w:rsid w:val="00C22FF4"/>
    <w:pPr>
      <w:spacing w:after="120" w:line="480" w:lineRule="auto"/>
    </w:pPr>
    <w:rPr>
      <w:lang w:val="x-none"/>
    </w:rPr>
  </w:style>
  <w:style w:type="character" w:customStyle="1" w:styleId="BodyText2Char">
    <w:name w:val="Body Text 2 Char"/>
    <w:basedOn w:val="DefaultParagraphFont"/>
    <w:link w:val="BodyText2"/>
    <w:rsid w:val="00C22FF4"/>
    <w:rPr>
      <w:rFonts w:ascii="Arial" w:hAnsi="Arial"/>
      <w:sz w:val="24"/>
      <w:lang w:val="x-none" w:eastAsia="en-US"/>
    </w:rPr>
  </w:style>
  <w:style w:type="character" w:styleId="FollowedHyperlink">
    <w:name w:val="FollowedHyperlink"/>
    <w:basedOn w:val="DefaultParagraphFont"/>
    <w:semiHidden/>
    <w:unhideWhenUsed/>
    <w:rsid w:val="00E6630B"/>
    <w:rPr>
      <w:color w:val="800080" w:themeColor="followedHyperlink"/>
      <w:u w:val="single"/>
    </w:rPr>
  </w:style>
  <w:style w:type="character" w:customStyle="1" w:styleId="UnresolvedMention">
    <w:name w:val="Unresolved Mention"/>
    <w:basedOn w:val="DefaultParagraphFont"/>
    <w:uiPriority w:val="99"/>
    <w:semiHidden/>
    <w:unhideWhenUsed/>
    <w:rsid w:val="00E663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paragraph" w:styleId="BodyText2">
    <w:name w:val="Body Text 2"/>
    <w:basedOn w:val="Normal"/>
    <w:link w:val="BodyText2Char"/>
    <w:rsid w:val="00C22FF4"/>
    <w:pPr>
      <w:spacing w:after="120" w:line="480" w:lineRule="auto"/>
    </w:pPr>
    <w:rPr>
      <w:lang w:val="x-none"/>
    </w:rPr>
  </w:style>
  <w:style w:type="character" w:customStyle="1" w:styleId="BodyText2Char">
    <w:name w:val="Body Text 2 Char"/>
    <w:basedOn w:val="DefaultParagraphFont"/>
    <w:link w:val="BodyText2"/>
    <w:rsid w:val="00C22FF4"/>
    <w:rPr>
      <w:rFonts w:ascii="Arial" w:hAnsi="Arial"/>
      <w:sz w:val="24"/>
      <w:lang w:val="x-none" w:eastAsia="en-US"/>
    </w:rPr>
  </w:style>
  <w:style w:type="character" w:styleId="FollowedHyperlink">
    <w:name w:val="FollowedHyperlink"/>
    <w:basedOn w:val="DefaultParagraphFont"/>
    <w:semiHidden/>
    <w:unhideWhenUsed/>
    <w:rsid w:val="00E6630B"/>
    <w:rPr>
      <w:color w:val="800080" w:themeColor="followedHyperlink"/>
      <w:u w:val="single"/>
    </w:rPr>
  </w:style>
  <w:style w:type="character" w:customStyle="1" w:styleId="UnresolvedMention">
    <w:name w:val="Unresolved Mention"/>
    <w:basedOn w:val="DefaultParagraphFont"/>
    <w:uiPriority w:val="99"/>
    <w:semiHidden/>
    <w:unhideWhenUsed/>
    <w:rsid w:val="00E66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4042">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804396045">
      <w:bodyDiv w:val="1"/>
      <w:marLeft w:val="0"/>
      <w:marRight w:val="0"/>
      <w:marTop w:val="0"/>
      <w:marBottom w:val="0"/>
      <w:divBdr>
        <w:top w:val="none" w:sz="0" w:space="0" w:color="auto"/>
        <w:left w:val="none" w:sz="0" w:space="0" w:color="auto"/>
        <w:bottom w:val="none" w:sz="0" w:space="0" w:color="auto"/>
        <w:right w:val="none" w:sz="0" w:space="0" w:color="auto"/>
      </w:divBdr>
    </w:div>
    <w:div w:id="117650575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statistics/children-looked-after-in-england-including-adoption-2017-to-201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v.uk/government/statistics/children-looked-after-in-england-including-adoption-2018-to-2019" TargetMode="External"/><Relationship Id="rId2" Type="http://schemas.openxmlformats.org/officeDocument/2006/relationships/customXml" Target="../customXml/item2.xml"/><Relationship Id="rId16" Type="http://schemas.openxmlformats.org/officeDocument/2006/relationships/hyperlink" Target="mailto:David.harrington@harrow.gov.uk" TargetMode="External"/><Relationship Id="rId20" Type="http://schemas.openxmlformats.org/officeDocument/2006/relationships/hyperlink" Target="https://www.gov.uk/government/statistics/children-looked-after-in-england-including-adoption-2015-to-2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ipika.patel@harrow.gov.uk" TargetMode="External"/><Relationship Id="rId10" Type="http://schemas.openxmlformats.org/officeDocument/2006/relationships/footnotes" Target="footnotes.xml"/><Relationship Id="rId19" Type="http://schemas.openxmlformats.org/officeDocument/2006/relationships/hyperlink" Target="https://www.gov.uk/government/statistics/children-looked-after-in-england-including-adoption-2016-to-201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 Document" ma:contentTypeID="0x0101000226E4B75CFA47B488D2CEFE4DCFDD6400EF429DD3CFC72144B9C9C825AEB14D540072C971E0E2666046BC97C579CD650ED8" ma:contentTypeVersion="4" ma:contentTypeDescription="" ma:contentTypeScope="" ma:versionID="2036bafcd27af8560001a303b6e8f9d0">
  <xsd:schema xmlns:xsd="http://www.w3.org/2001/XMLSchema" xmlns:xs="http://www.w3.org/2001/XMLSchema" xmlns:p="http://schemas.microsoft.com/office/2006/metadata/properties" xmlns:ns2="e48e9339-ef40-4192-ab59-a15ba5582753" xmlns:ns3="af3d09c3-6bda-497f-9429-d88ed2da2036" targetNamespace="http://schemas.microsoft.com/office/2006/metadata/properties" ma:root="true" ma:fieldsID="158f33d0ae5999c713bb6425b0a7941b" ns2:_="" ns3:_="">
    <xsd:import namespace="e48e9339-ef40-4192-ab59-a15ba5582753"/>
    <xsd:import namespace="af3d09c3-6bda-497f-9429-d88ed2da2036"/>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Month"/>
                <xsd:element ref="ns2:Fiscal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0145cc01-009e-42ac-a548-38688d1494ac}" ma:internalName="TaxCatchAll" ma:showField="CatchAllData" ma:web="d2af1d45-5333-43d6-937d-76ab00e60c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145cc01-009e-42ac-a548-38688d1494ac}" ma:internalName="TaxCatchAllLabel" ma:readOnly="true" ma:showField="CatchAllDataLabel" ma:web="d2af1d45-5333-43d6-937d-76ab00e60c03">
      <xsd:complexType>
        <xsd:complexContent>
          <xsd:extension base="dms:MultiChoiceLookup">
            <xsd:sequence>
              <xsd:element name="Value" type="dms:Lookup" maxOccurs="unbounded" minOccurs="0" nillable="true"/>
            </xsd:sequence>
          </xsd:extension>
        </xsd:complexContent>
      </xsd:complexType>
    </xsd:element>
    <xsd:element name="Fiscal_x0020_Year" ma:index="1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schema>
  <xsd:schema xmlns:xsd="http://www.w3.org/2001/XMLSchema" xmlns:xs="http://www.w3.org/2001/XMLSchema" xmlns:dms="http://schemas.microsoft.com/office/2006/documentManagement/types" xmlns:pc="http://schemas.microsoft.com/office/infopath/2007/PartnerControls" targetNamespace="af3d09c3-6bda-497f-9429-d88ed2da2036" elementFormDefault="qualified">
    <xsd:import namespace="http://schemas.microsoft.com/office/2006/documentManagement/types"/>
    <xsd:import namespace="http://schemas.microsoft.com/office/infopath/2007/PartnerControls"/>
    <xsd:element name="Month" ma:index="14" ma:displayName="Month" ma:format="Dropdown" ma:internalName="Month" ma:readOnly="fals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Fiscal_x0020_Year xmlns="e48e9339-ef40-4192-ab59-a15ba5582753">FY 2020-21</Fiscal_x0020_Year>
    <HarrowProtectiveMarking xmlns="e48e9339-ef40-4192-ab59-a15ba5582753">OFFICIAL-SENSITIVE</HarrowProtectiveMarking>
    <HarrowDescription xmlns="e48e9339-ef40-4192-ab59-a15ba5582753" xsi:nil="true"/>
    <Month xmlns="af3d09c3-6bda-497f-9429-d88ed2da2036">09</Month>
  </documentManagement>
</p:properties>
</file>

<file path=customXml/item3.xml><?xml version="1.0" encoding="utf-8"?>
<?mso-contentType ?>
<SharedContentType xmlns="Microsoft.SharePoint.Taxonomy.ContentTypeSync" SourceId="b11bda97-64e7-4000-91fd-dcaad77bf85d" ContentTypeId="0x0101000226E4B75CFA47B488D2CEFE4DCFDD6400EF429DD3CFC72144B9C9C825AEB14D5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6EBCB-2E08-41B6-B8DD-7603B4A64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af3d09c3-6bda-497f-9429-d88ed2da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CC08B-4BE8-40C5-B250-546C56BC82D7}">
  <ds:schemaRefs>
    <ds:schemaRef ds:uri="af3d09c3-6bda-497f-9429-d88ed2da20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8e9339-ef40-4192-ab59-a15ba5582753"/>
    <ds:schemaRef ds:uri="http://www.w3.org/XML/1998/namespace"/>
    <ds:schemaRef ds:uri="http://purl.org/dc/dcmitype/"/>
  </ds:schemaRefs>
</ds:datastoreItem>
</file>

<file path=customXml/itemProps3.xml><?xml version="1.0" encoding="utf-8"?>
<ds:datastoreItem xmlns:ds="http://schemas.openxmlformats.org/officeDocument/2006/customXml" ds:itemID="{5EB58B1F-B544-4CC3-BF62-CAA938573151}">
  <ds:schemaRefs>
    <ds:schemaRef ds:uri="Microsoft.SharePoint.Taxonomy.ContentTypeSync"/>
  </ds:schemaRefs>
</ds:datastoreItem>
</file>

<file path=customXml/itemProps4.xml><?xml version="1.0" encoding="utf-8"?>
<ds:datastoreItem xmlns:ds="http://schemas.openxmlformats.org/officeDocument/2006/customXml" ds:itemID="{C3CE1207-663A-40F5-8F67-EC240D7A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859</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Corporate Parenting Front Sheet Q1 2020_21</vt:lpstr>
    </vt:vector>
  </TitlesOfParts>
  <Company>Harrow Council</Company>
  <LinksUpToDate>false</LinksUpToDate>
  <CharactersWithSpaces>6578</CharactersWithSpaces>
  <SharedDoc>false</SharedDoc>
  <HLinks>
    <vt:vector size="24" baseType="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Front Sheet Q1 2020_21</dc:title>
  <dc:creator>Harrow IT Services</dc:creator>
  <cp:lastModifiedBy>MChellah</cp:lastModifiedBy>
  <cp:revision>6</cp:revision>
  <cp:lastPrinted>2014-11-17T16:34:00Z</cp:lastPrinted>
  <dcterms:created xsi:type="dcterms:W3CDTF">2020-09-24T12:42:00Z</dcterms:created>
  <dcterms:modified xsi:type="dcterms:W3CDTF">2020-09-28T10:04:00Z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0x0101000226E4B75CFA47B488D2CEFE4DCFDD6400EF429DD3CFC72144B9C9C825AEB14D540072C971E0E2666046BC97C579CD650ED8</vt:lpwstr>
  </property>
  <property fmtid="{D5CDD505-2E9C-101B-9397-08002B2CF9AE}" pid="3" name="TaxKeyword">
    <vt:lpwstr/>
  </property>
</Properties>
</file>